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2F8" w:rsidRPr="00AA526E" w:rsidRDefault="00AC471C">
      <w:pPr>
        <w:rPr>
          <w:rFonts w:ascii="Times New Roman" w:hAnsi="Times New Roman" w:cs="Times New Roman"/>
          <w:sz w:val="24"/>
          <w:szCs w:val="24"/>
        </w:rPr>
      </w:pPr>
      <w:bookmarkStart w:id="0" w:name="_GoBack"/>
      <w:bookmarkEnd w:id="0"/>
      <w:r w:rsidRPr="00AA526E">
        <w:rPr>
          <w:rFonts w:ascii="Times New Roman" w:hAnsi="Times New Roman" w:cs="Times New Roman"/>
          <w:sz w:val="24"/>
          <w:szCs w:val="24"/>
        </w:rPr>
        <w:t>Příloha č. 4</w:t>
      </w:r>
    </w:p>
    <w:p w:rsidR="00AC471C" w:rsidRDefault="00AC471C"/>
    <w:p w:rsidR="00AC471C" w:rsidRPr="000D71B7" w:rsidRDefault="00AC471C" w:rsidP="00AC471C">
      <w:pPr>
        <w:pStyle w:val="Nadpis4"/>
        <w:spacing w:before="0" w:line="240" w:lineRule="auto"/>
        <w:rPr>
          <w:rFonts w:ascii="Times New Roman" w:eastAsiaTheme="minorHAnsi" w:hAnsi="Times New Roman" w:cs="Times New Roman"/>
          <w:bCs w:val="0"/>
          <w:i w:val="0"/>
          <w:iCs w:val="0"/>
          <w:color w:val="auto"/>
          <w:sz w:val="24"/>
          <w:szCs w:val="24"/>
        </w:rPr>
      </w:pPr>
      <w:r>
        <w:rPr>
          <w:rFonts w:ascii="Times New Roman" w:eastAsiaTheme="minorHAnsi" w:hAnsi="Times New Roman" w:cs="Times New Roman"/>
          <w:bCs w:val="0"/>
          <w:i w:val="0"/>
          <w:iCs w:val="0"/>
          <w:color w:val="auto"/>
          <w:sz w:val="28"/>
          <w:szCs w:val="28"/>
        </w:rPr>
        <w:t>5.</w:t>
      </w:r>
      <w:r w:rsidRPr="009979A6">
        <w:rPr>
          <w:rFonts w:ascii="Times New Roman" w:eastAsiaTheme="minorHAnsi" w:hAnsi="Times New Roman" w:cs="Times New Roman"/>
          <w:bCs w:val="0"/>
          <w:i w:val="0"/>
          <w:iCs w:val="0"/>
          <w:color w:val="auto"/>
          <w:sz w:val="28"/>
          <w:szCs w:val="28"/>
        </w:rPr>
        <w:t xml:space="preserve">  Seznam relevantních možností čerpání finančních zdrojů z fondů EU </w:t>
      </w:r>
      <w:r>
        <w:rPr>
          <w:rFonts w:ascii="Times New Roman" w:eastAsiaTheme="minorHAnsi" w:hAnsi="Times New Roman" w:cs="Times New Roman"/>
          <w:bCs w:val="0"/>
          <w:i w:val="0"/>
          <w:iCs w:val="0"/>
          <w:color w:val="auto"/>
          <w:sz w:val="28"/>
          <w:szCs w:val="28"/>
        </w:rPr>
        <w:br/>
      </w:r>
      <w:r w:rsidRPr="009979A6">
        <w:rPr>
          <w:rFonts w:ascii="Times New Roman" w:eastAsiaTheme="minorHAnsi" w:hAnsi="Times New Roman" w:cs="Times New Roman"/>
          <w:bCs w:val="0"/>
          <w:i w:val="0"/>
          <w:iCs w:val="0"/>
          <w:color w:val="auto"/>
          <w:sz w:val="28"/>
          <w:szCs w:val="28"/>
        </w:rPr>
        <w:t>a dalších dotačních titulů</w:t>
      </w:r>
      <w:r w:rsidRPr="00531BA2">
        <w:rPr>
          <w:rFonts w:ascii="Times New Roman" w:eastAsiaTheme="minorHAnsi" w:hAnsi="Times New Roman" w:cs="Times New Roman"/>
          <w:bCs w:val="0"/>
          <w:i w:val="0"/>
          <w:iCs w:val="0"/>
          <w:color w:val="auto"/>
          <w:sz w:val="24"/>
          <w:szCs w:val="24"/>
        </w:rPr>
        <w:t xml:space="preserve"> </w:t>
      </w:r>
    </w:p>
    <w:p w:rsidR="00AC471C" w:rsidRDefault="00AC471C" w:rsidP="00AC471C">
      <w:pPr>
        <w:spacing w:after="0" w:line="240" w:lineRule="auto"/>
        <w:jc w:val="both"/>
        <w:rPr>
          <w:rFonts w:ascii="Times New Roman" w:hAnsi="Times New Roman" w:cs="Times New Roman"/>
          <w:b/>
          <w:sz w:val="28"/>
          <w:szCs w:val="28"/>
        </w:rPr>
      </w:pPr>
    </w:p>
    <w:p w:rsidR="00AC471C" w:rsidRPr="00CF258E" w:rsidRDefault="00AC471C" w:rsidP="00AC471C">
      <w:pPr>
        <w:spacing w:after="0" w:line="240" w:lineRule="auto"/>
        <w:jc w:val="both"/>
        <w:rPr>
          <w:rFonts w:ascii="Times New Roman" w:hAnsi="Times New Roman" w:cs="Times New Roman"/>
          <w:b/>
          <w:sz w:val="28"/>
          <w:szCs w:val="28"/>
        </w:rPr>
      </w:pPr>
      <w:r w:rsidRPr="00CF258E">
        <w:rPr>
          <w:rFonts w:ascii="Times New Roman" w:hAnsi="Times New Roman" w:cs="Times New Roman"/>
          <w:b/>
          <w:sz w:val="28"/>
          <w:szCs w:val="28"/>
        </w:rPr>
        <w:t>5.1 Seznam relevantních možností čerpání finančních zdrojů z fondů EU a dalších dotačních titulů programového období 2007-2013</w:t>
      </w:r>
    </w:p>
    <w:p w:rsidR="00AC471C" w:rsidRDefault="00AC471C" w:rsidP="00AC471C">
      <w:pPr>
        <w:pStyle w:val="I-C2podkapitola"/>
        <w:spacing w:before="0" w:after="0"/>
      </w:pPr>
      <w:bookmarkStart w:id="1" w:name="_Toc271398051"/>
    </w:p>
    <w:p w:rsidR="00AC471C" w:rsidRPr="00745F3F" w:rsidRDefault="00AC471C" w:rsidP="00AC471C">
      <w:pPr>
        <w:pStyle w:val="I-C2podkapitola"/>
        <w:spacing w:before="0" w:after="0"/>
      </w:pPr>
      <w:r w:rsidRPr="00745F3F">
        <w:t>5.1</w:t>
      </w:r>
      <w:r>
        <w:t>.1</w:t>
      </w:r>
      <w:r w:rsidRPr="00745F3F">
        <w:tab/>
        <w:t>Operační program Praha – Konkurenceschopnost</w:t>
      </w:r>
      <w:bookmarkEnd w:id="1"/>
    </w:p>
    <w:p w:rsidR="00AC471C" w:rsidRDefault="00AC471C" w:rsidP="00AC471C">
      <w:pPr>
        <w:spacing w:after="0" w:line="240" w:lineRule="auto"/>
        <w:jc w:val="both"/>
        <w:rPr>
          <w:rFonts w:ascii="Times New Roman" w:hAnsi="Times New Roman" w:cs="Times New Roman"/>
          <w:sz w:val="24"/>
          <w:szCs w:val="24"/>
        </w:rPr>
      </w:pPr>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Operační program Praha – Konkurenceschopnost (OPPK) je jedním programů v České republice, které budou v období let 2007 – 2013 využívat prostředky Evropského fondu pro regionální rozvoj. Program je zaměřen na dostupnost dopravních služeb a informačních </w:t>
      </w:r>
      <w:r w:rsidRPr="00745F3F">
        <w:rPr>
          <w:rFonts w:ascii="Times New Roman" w:hAnsi="Times New Roman" w:cs="Times New Roman"/>
          <w:sz w:val="24"/>
          <w:szCs w:val="24"/>
        </w:rPr>
        <w:br/>
        <w:t>a komunikačních technologií, na zvýšení kvality ochrany životního prostředí a podporu inovací a hospodářství založeného na znalostech.</w:t>
      </w:r>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OPPK je platný pouze pro území hlavního města Prahy. Kvůli rozdělení regionů EU pro účely strukturální politiky podle výše HDP, jež region vyprodukuje, Praha nemůže využívat prostředky určené z fondů EU zbytku ČR a naopak jiné kraje než hlavní město Praha nemohou mít prospěch z prostředků, které EU vyčlenila pro hlavní město (programy OPPK </w:t>
      </w:r>
      <w:r w:rsidRPr="00745F3F">
        <w:rPr>
          <w:rFonts w:ascii="Times New Roman" w:hAnsi="Times New Roman" w:cs="Times New Roman"/>
          <w:sz w:val="24"/>
          <w:szCs w:val="24"/>
        </w:rPr>
        <w:br/>
        <w:t>a OPPA).</w:t>
      </w:r>
    </w:p>
    <w:p w:rsidR="00AC471C" w:rsidRPr="00745F3F" w:rsidRDefault="00AC471C" w:rsidP="00AC471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after="0" w:line="240" w:lineRule="auto"/>
              <w:jc w:val="center"/>
              <w:rPr>
                <w:rFonts w:ascii="Times New Roman" w:hAnsi="Times New Roman" w:cs="Times New Roman"/>
                <w:b/>
                <w:sz w:val="24"/>
                <w:szCs w:val="24"/>
              </w:rPr>
            </w:pPr>
            <w:r w:rsidRPr="00745F3F">
              <w:rPr>
                <w:rFonts w:ascii="Times New Roman" w:hAnsi="Times New Roman" w:cs="Times New Roman"/>
                <w:b/>
                <w:sz w:val="24"/>
                <w:szCs w:val="24"/>
              </w:rPr>
              <w:t>Prioritní osa 1 – Dopravní dostupnost a rozvoj ICT</w:t>
            </w:r>
          </w:p>
        </w:tc>
      </w:tr>
      <w:tr w:rsidR="00AC471C" w:rsidRPr="00745F3F" w:rsidTr="00944582">
        <w:tc>
          <w:tcPr>
            <w:tcW w:w="9212" w:type="dxa"/>
          </w:tcPr>
          <w:p w:rsidR="00AC471C" w:rsidRPr="00745F3F" w:rsidRDefault="00AC471C" w:rsidP="00944582">
            <w:pPr>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OBLAST PODPORY 1.2 - Rozvoj a dostupnost ICT služeb</w:t>
            </w:r>
          </w:p>
          <w:p w:rsidR="00AC471C" w:rsidRPr="00745F3F" w:rsidRDefault="00AC471C" w:rsidP="00944582">
            <w:pPr>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Stručný popis</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Zavádění a efektivní využívání ICT veřejnou správou, MSP a jednotlivci jsou podmíněny dostupností ICT pro tyto subjekty, rozvojem sítí a přístupem k nim a dostatečnou nabídkou služeb a praktických softwarových (SW) aplikací. Vzhledem k vcelku uspokojivému rozvoji optických sítí v Praze (zejména páteřních) se oblast podpory zaměřuje na podporu rozvoje kapacitních přípojek všech objektů města, obytných domů a menších firem, přenosu ICT, zavádění a efektivního využívání těchto technologií včetně rozvoje e-služeb městské správy (e-Governmentu). Podpora bude určena i pro rozvoj inovativních mobilních služeb. Intervence v této oblasti budou v případě naplňování národních politik harmonizovány s intervencemi v rámci příslušných operačních programů v cíli EU „Konvergence“.</w:t>
            </w:r>
          </w:p>
          <w:p w:rsidR="00AC471C" w:rsidRPr="00745F3F" w:rsidRDefault="00AC471C" w:rsidP="00944582">
            <w:pPr>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Globální cíl</w:t>
            </w:r>
          </w:p>
          <w:p w:rsidR="00AC471C" w:rsidRPr="00745F3F" w:rsidRDefault="00AC471C" w:rsidP="00944582">
            <w:pPr>
              <w:spacing w:after="0" w:line="240" w:lineRule="auto"/>
              <w:rPr>
                <w:rFonts w:ascii="Times New Roman" w:hAnsi="Times New Roman" w:cs="Times New Roman"/>
                <w:sz w:val="24"/>
                <w:szCs w:val="24"/>
              </w:rPr>
            </w:pPr>
            <w:r w:rsidRPr="00745F3F">
              <w:rPr>
                <w:rFonts w:ascii="Times New Roman" w:hAnsi="Times New Roman" w:cs="Times New Roman"/>
                <w:sz w:val="24"/>
                <w:szCs w:val="24"/>
              </w:rPr>
              <w:t>Zlepšení dostupnosti informačních a telekomunikačních služeb</w:t>
            </w:r>
          </w:p>
          <w:p w:rsidR="00AC471C" w:rsidRPr="00745F3F" w:rsidRDefault="00AC471C" w:rsidP="00944582">
            <w:pPr>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Specifické cíle</w:t>
            </w:r>
          </w:p>
          <w:p w:rsidR="00AC471C" w:rsidRPr="00745F3F" w:rsidRDefault="00AC471C" w:rsidP="00944582">
            <w:pPr>
              <w:spacing w:after="0" w:line="240" w:lineRule="auto"/>
              <w:rPr>
                <w:rFonts w:ascii="Times New Roman" w:hAnsi="Times New Roman" w:cs="Times New Roman"/>
                <w:sz w:val="24"/>
                <w:szCs w:val="24"/>
              </w:rPr>
            </w:pPr>
            <w:r w:rsidRPr="00745F3F">
              <w:rPr>
                <w:rFonts w:ascii="Times New Roman" w:hAnsi="Times New Roman" w:cs="Times New Roman"/>
                <w:sz w:val="24"/>
                <w:szCs w:val="24"/>
              </w:rPr>
              <w:t>Zvýšit efektivitu veřejné správy a služeb pro veřejnost (e-Government)</w:t>
            </w:r>
          </w:p>
          <w:p w:rsidR="00AC471C" w:rsidRPr="00745F3F" w:rsidRDefault="00AC471C" w:rsidP="00944582">
            <w:pPr>
              <w:spacing w:after="0" w:line="240" w:lineRule="auto"/>
              <w:rPr>
                <w:rFonts w:ascii="Times New Roman" w:hAnsi="Times New Roman" w:cs="Times New Roman"/>
                <w:sz w:val="24"/>
                <w:szCs w:val="24"/>
              </w:rPr>
            </w:pPr>
            <w:r w:rsidRPr="00745F3F">
              <w:rPr>
                <w:rFonts w:ascii="Times New Roman" w:hAnsi="Times New Roman" w:cs="Times New Roman"/>
                <w:sz w:val="24"/>
                <w:szCs w:val="24"/>
              </w:rPr>
              <w:t>Zvýšit nabídku progresivních a cenově dostupných služeb a aplikací ICT pro občany</w:t>
            </w:r>
          </w:p>
          <w:p w:rsidR="00AC471C" w:rsidRPr="00745F3F" w:rsidRDefault="00AC471C" w:rsidP="00944582">
            <w:pPr>
              <w:spacing w:after="0" w:line="240" w:lineRule="auto"/>
              <w:rPr>
                <w:rFonts w:ascii="Times New Roman" w:hAnsi="Times New Roman" w:cs="Times New Roman"/>
                <w:sz w:val="24"/>
                <w:szCs w:val="24"/>
              </w:rPr>
            </w:pPr>
            <w:r w:rsidRPr="00745F3F">
              <w:rPr>
                <w:rFonts w:ascii="Times New Roman" w:hAnsi="Times New Roman" w:cs="Times New Roman"/>
                <w:sz w:val="24"/>
                <w:szCs w:val="24"/>
              </w:rPr>
              <w:t>Podpořit přenos nových technologií a jejich osvojování</w:t>
            </w:r>
          </w:p>
          <w:p w:rsidR="00AC471C" w:rsidRPr="00745F3F" w:rsidRDefault="00AC471C" w:rsidP="00944582">
            <w:pPr>
              <w:spacing w:after="0" w:line="240" w:lineRule="auto"/>
              <w:rPr>
                <w:rFonts w:ascii="Times New Roman" w:hAnsi="Times New Roman" w:cs="Times New Roman"/>
                <w:sz w:val="24"/>
                <w:szCs w:val="24"/>
              </w:rPr>
            </w:pPr>
            <w:r w:rsidRPr="00745F3F">
              <w:rPr>
                <w:rFonts w:ascii="Times New Roman" w:hAnsi="Times New Roman" w:cs="Times New Roman"/>
                <w:sz w:val="24"/>
                <w:szCs w:val="24"/>
              </w:rPr>
              <w:t>Podpořit rozvoj sítí vysokorychlostního připojení domácností, MSP a veřejných prostranství</w:t>
            </w:r>
          </w:p>
          <w:p w:rsidR="00AC471C" w:rsidRPr="00745F3F" w:rsidRDefault="00AC471C" w:rsidP="00944582">
            <w:pPr>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Příjemci</w:t>
            </w:r>
          </w:p>
          <w:p w:rsidR="00AC471C" w:rsidRPr="00745F3F" w:rsidRDefault="00AC471C" w:rsidP="00944582">
            <w:pPr>
              <w:spacing w:after="0" w:line="240" w:lineRule="auto"/>
              <w:rPr>
                <w:rFonts w:ascii="Times New Roman" w:hAnsi="Times New Roman" w:cs="Times New Roman"/>
                <w:sz w:val="24"/>
                <w:szCs w:val="24"/>
              </w:rPr>
            </w:pPr>
            <w:r w:rsidRPr="00745F3F">
              <w:rPr>
                <w:rFonts w:ascii="Times New Roman" w:hAnsi="Times New Roman" w:cs="Times New Roman"/>
                <w:sz w:val="24"/>
                <w:szCs w:val="24"/>
              </w:rPr>
              <w:t>Hlavní město Praha</w:t>
            </w:r>
          </w:p>
          <w:p w:rsidR="00AC471C" w:rsidRPr="00745F3F" w:rsidRDefault="00AC471C" w:rsidP="00944582">
            <w:pPr>
              <w:spacing w:after="0" w:line="240" w:lineRule="auto"/>
              <w:rPr>
                <w:rFonts w:ascii="Times New Roman" w:hAnsi="Times New Roman" w:cs="Times New Roman"/>
                <w:sz w:val="24"/>
                <w:szCs w:val="24"/>
              </w:rPr>
            </w:pPr>
            <w:r w:rsidRPr="00745F3F">
              <w:rPr>
                <w:rFonts w:ascii="Times New Roman" w:hAnsi="Times New Roman" w:cs="Times New Roman"/>
                <w:sz w:val="24"/>
                <w:szCs w:val="24"/>
              </w:rPr>
              <w:t>Městské části</w:t>
            </w:r>
          </w:p>
          <w:p w:rsidR="00AC471C" w:rsidRPr="00745F3F" w:rsidRDefault="00AC471C" w:rsidP="00944582">
            <w:pPr>
              <w:spacing w:after="0" w:line="240" w:lineRule="auto"/>
              <w:rPr>
                <w:rFonts w:ascii="Times New Roman" w:hAnsi="Times New Roman" w:cs="Times New Roman"/>
                <w:sz w:val="24"/>
                <w:szCs w:val="24"/>
              </w:rPr>
            </w:pPr>
            <w:r w:rsidRPr="00745F3F">
              <w:rPr>
                <w:rFonts w:ascii="Times New Roman" w:hAnsi="Times New Roman" w:cs="Times New Roman"/>
                <w:sz w:val="24"/>
                <w:szCs w:val="24"/>
              </w:rPr>
              <w:t>Nestátní neziskové organizace</w:t>
            </w:r>
          </w:p>
        </w:tc>
      </w:tr>
    </w:tbl>
    <w:p w:rsidR="00AC471C" w:rsidRPr="00745F3F" w:rsidRDefault="00AC471C" w:rsidP="00AC471C">
      <w:pPr>
        <w:spacing w:after="0" w:line="240" w:lineRule="auto"/>
        <w:rPr>
          <w:rFonts w:ascii="Times New Roman" w:hAnsi="Times New Roman" w:cs="Times New Roman"/>
          <w:sz w:val="24"/>
          <w:szCs w:val="24"/>
        </w:rPr>
      </w:pPr>
    </w:p>
    <w:p w:rsidR="00AC471C" w:rsidRPr="00745F3F" w:rsidRDefault="00AC471C" w:rsidP="00AC471C">
      <w:pPr>
        <w:spacing w:after="0" w:line="240" w:lineRule="auto"/>
        <w:rPr>
          <w:rFonts w:ascii="Times New Roman" w:hAnsi="Times New Roman" w:cs="Times New Roman"/>
          <w:sz w:val="24"/>
          <w:szCs w:val="24"/>
        </w:rPr>
      </w:pPr>
      <w:r w:rsidRPr="00745F3F">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after="0" w:line="240" w:lineRule="auto"/>
              <w:jc w:val="center"/>
              <w:rPr>
                <w:rFonts w:ascii="Times New Roman" w:hAnsi="Times New Roman" w:cs="Times New Roman"/>
                <w:b/>
                <w:sz w:val="24"/>
                <w:szCs w:val="24"/>
              </w:rPr>
            </w:pPr>
            <w:r w:rsidRPr="00745F3F">
              <w:rPr>
                <w:rFonts w:ascii="Times New Roman" w:hAnsi="Times New Roman" w:cs="Times New Roman"/>
                <w:b/>
                <w:sz w:val="24"/>
                <w:szCs w:val="24"/>
              </w:rPr>
              <w:lastRenderedPageBreak/>
              <w:t>Prioritní osa 2 – Životní prostředí</w:t>
            </w:r>
          </w:p>
        </w:tc>
      </w:tr>
      <w:tr w:rsidR="00AC471C" w:rsidRPr="00745F3F" w:rsidTr="00944582">
        <w:tc>
          <w:tcPr>
            <w:tcW w:w="9212" w:type="dxa"/>
          </w:tcPr>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OBLAST PODPORY 2.1 Revitalizace a ochrana území</w:t>
            </w:r>
          </w:p>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Stručný popis</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Na území Prahy se vyskytuje značný počet neudržovaných, poškozených a nevhodně využitých ploch. Zároveň roste tlak na výstavbu nových objektů v dosud nezastavěných územích, což není žádoucí zejména v přírodně nebo historicky cenných lokalitách a v jejich blízkosti. Předmětem oblasti podpory je proto regenerační činnost, která může zahrnovat území, jejichž budoucí využití není známo, avšak které představují aktuální ohrožení životního prostředí bránící hospodářskému rozvoji. Dále mohou být revitalizována území, jejichž budoucí využití (zejména pro aktivity vytvářející pracovní místa) je známo, ale není bezprostředně součástí podporovaných projektů. Podporovat lze také revitalizaci území, na nichž bude v rámci podporovaných projektů realizováno cílové prostorové a funkční využití (např. parkové úpravy, veřejné prostory s mobiliářem, veřejně přístupná sportoviště, vodní plochy a nádrže apod.). Pro transformaci a úplnou regeneraci těchto území je často nezbytné např. odstranění starých ekologických zátěží (zejména bývalých a nepovolených „živých“ skládek), doplnění potřebné infrastruktury šetrné k životnímu prostředí apod. Součástí oblasti podpory je regenerace veřejných prostranství v obytných územích, včetně sídlišť nebo sociálně problémových (rizikových) lokalit. Jejich bezpečnost lze zvýšit např. posílením veřejného osvětlení a instalací bezpečnostních kamerových systémů. Projekty by měly také řešit urbanistické, funkční a estetické nedostatky obytného parteru a v přímé návaznosti na to i zlepšení stavu zeleně, rozšíření zelených ploch a celkové posílení rekreačně-ekologického potenciálu prostředí. V rámci oblasti podpory 2.1 se počítá také s obnovou nevyužívaných, historicky cenných objektů a areálů, zejména pak těch, které jsou součástí revitalizovaného území a které byly dosud opomíjeny (např. z důvodu periferní polohy).</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Aktivity jsou zaměřeny dále na posílení retenční schopnosti území, zlepšení odtokových poměrů a čistoty vody pomocí revitalizace vodních toků včetně revitalizace vodních nádrží a doprovodné městské zeleně. Nedostatky lze odstranit provedením úpravy koryt, vyčištěním a úpravou okolí vodních toků, výsadbou nových stromů a keřů, odbahněním nádrží spojeným s nutnou opravou objektů a hrází, zvětšením retenčních objemů zadržované vody.</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Protipovodňová ochrana Vltavy a Berounky je realizovaná ze zdrojů Prahy. OPPK bude podporovat projekty řešící protipovodňovou ochranu území potenciálně zasažených povodněmi na menších vodních tocích (Rokytka, Botič nebo Šárecký potok). Podporována budou opatření malého rozsahu (doplňující významnější, již realizovanou protipovodňovou ochranu Prahy) s cílem dokončení kompletní protipovodňové ochrany Prahy. </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V oblasti prevence nadměrného hluku z dopravy se počítá s realizací protihlukových zdí, valů a vysazováním pásů stromů, keřů a další doprovodné zeleně podél komunikací.</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Některé intervence realizované zejména v okrajových částech Prahy mohou mít bezprostřední vliv také na sousední region NUTS II Střední Čechy. Na projektové úrovni budou takové intervence koordinovány s ŘO ROP Střední Čechy.</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Podpora není určena pro novou výstavbu.</w:t>
            </w:r>
          </w:p>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Globální cíl</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Zkvalitnění životního prostředí a ochrana před přírodními riziky</w:t>
            </w:r>
          </w:p>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Specifické cíle</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Revitalizovat opuštěné, poškozené nebo nevhodně využívané plochy typu „brownfields“, zvýšit jejich atraktivitu pro investory, občany i návštěvníky a posilovat tak jejich městotvornou funkci a ekonomický potenciál</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Zlepšit kvalitu přírodního prostředí v revitalizovaných územích a jejich okolí</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Revitalizovat veřejná prostranství v obytných územích, včetně sídlišť nebo jiných sociálně problémových lokalit (například s vysokou koncentrací kriminality); v rámci revitalizace ploch obnovovat i nevyužívané, historicky cenné objekty, snížit tlak na výstavbu nových </w:t>
            </w:r>
            <w:r w:rsidRPr="00745F3F">
              <w:rPr>
                <w:rFonts w:ascii="Times New Roman" w:hAnsi="Times New Roman" w:cs="Times New Roman"/>
                <w:sz w:val="24"/>
                <w:szCs w:val="24"/>
              </w:rPr>
              <w:lastRenderedPageBreak/>
              <w:t>objektů v přírodně nebo historicky cenných lokalitách a v jejich blízkosti</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Podpořit rozšiřování a obnovu ploch zeleně ve městě, včetně realizace prvků ÚSES </w:t>
            </w:r>
            <w:r>
              <w:rPr>
                <w:rFonts w:ascii="Times New Roman" w:hAnsi="Times New Roman" w:cs="Times New Roman"/>
                <w:sz w:val="24"/>
                <w:szCs w:val="24"/>
              </w:rPr>
              <w:br/>
            </w:r>
            <w:r w:rsidRPr="00745F3F">
              <w:rPr>
                <w:rFonts w:ascii="Times New Roman" w:hAnsi="Times New Roman" w:cs="Times New Roman"/>
                <w:sz w:val="24"/>
                <w:szCs w:val="24"/>
              </w:rPr>
              <w:t>a ochrany lokalit systému Natura 2000</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Zlepšit vodní bilanci a kvalitu povrchových a podzemních vod</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Protipovodňová ochrana území</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Snížení hlukové zátěže</w:t>
            </w:r>
          </w:p>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Příjemci</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Hlavní město Praha</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Městské části hl. m. Prahy</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Organizace zřízené a založené hl. m. Prahou a městskými částmi hl. m. Prahy</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Nestátní neziskové organizace</w:t>
            </w:r>
          </w:p>
        </w:tc>
      </w:tr>
      <w:tr w:rsidR="00AC471C" w:rsidRPr="00745F3F" w:rsidTr="00944582">
        <w:tc>
          <w:tcPr>
            <w:tcW w:w="9212" w:type="dxa"/>
            <w:tcBorders>
              <w:top w:val="single" w:sz="4" w:space="0" w:color="auto"/>
              <w:left w:val="single" w:sz="4" w:space="0" w:color="auto"/>
              <w:bottom w:val="single" w:sz="4" w:space="0" w:color="auto"/>
              <w:right w:val="single" w:sz="4" w:space="0" w:color="auto"/>
            </w:tcBorders>
          </w:tcPr>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b/>
                <w:sz w:val="24"/>
                <w:szCs w:val="24"/>
              </w:rPr>
              <w:lastRenderedPageBreak/>
              <w:t>OBLAST PODPORY 2.2 Úsporné a udržitelné využívání energií a přírodních zdrojů</w:t>
            </w:r>
          </w:p>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Stručný popis</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Předmětem oblasti podpory je podpora realizace energetických úspor zejména při provozu budov, využití odpadního tepla a obnovitelných zdrojů energie (s přihlédnutím k vhodnosti daného zdroje pro místní podmínky). Oblast podpory je určena projektům menšího rozsahu </w:t>
            </w:r>
            <w:r>
              <w:rPr>
                <w:rFonts w:ascii="Times New Roman" w:hAnsi="Times New Roman" w:cs="Times New Roman"/>
                <w:sz w:val="24"/>
                <w:szCs w:val="24"/>
              </w:rPr>
              <w:br/>
            </w:r>
            <w:r w:rsidRPr="00745F3F">
              <w:rPr>
                <w:rFonts w:ascii="Times New Roman" w:hAnsi="Times New Roman" w:cs="Times New Roman"/>
                <w:sz w:val="24"/>
                <w:szCs w:val="24"/>
              </w:rPr>
              <w:t xml:space="preserve">s lokálním či regionálním významem (cílem není výstavba nových velkých zařízení pro výrobu tepelné nebo elektrické energie, případně pro jejich kombinovanou výrobu). Jde </w:t>
            </w:r>
            <w:r>
              <w:rPr>
                <w:rFonts w:ascii="Times New Roman" w:hAnsi="Times New Roman" w:cs="Times New Roman"/>
                <w:sz w:val="24"/>
                <w:szCs w:val="24"/>
              </w:rPr>
              <w:br/>
            </w:r>
            <w:r w:rsidRPr="00745F3F">
              <w:rPr>
                <w:rFonts w:ascii="Times New Roman" w:hAnsi="Times New Roman" w:cs="Times New Roman"/>
                <w:sz w:val="24"/>
                <w:szCs w:val="24"/>
              </w:rPr>
              <w:t xml:space="preserve">o uplatnění reálných energetických úspor a současně možností doplňkového využití obnovitelných zdrojů energie sloužících pro ohřev teplé užitkové vody, přitápění či vytápění objektů, případně jako lokální záložní nebo přídavný zdroj elektrické energie apod. </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Náklady vynaložené na úsporu energií by měly být adekvátní dosažitelným úsporám, přičemž výchozí stav i očekávaný efekt musí být doloženy energetickým auditem. Typ, výkon a způsob instalace zařízení na využití obnovitelných zdrojů energie budou respektovat nejen energetický potenciál lokality, ale i její urbanisticko-architektonický charakter (včetně panoramatu), zejména v památkově a přírodně hodnotném území. Vzhledem ke klimatickým a fyzickogeografickým podmínkám Prahy bude primárně podporovánovyužití tepelných čerpadel, solárních systémů (zejména pro ohřev teplé užitkové vody, příp. pro vytápění). Lokálně je možné podpořit také (znovu)využití vodní energie některých vodnatějších toků, případně využití energie z biomasy (v okrajových částech města) nebo uplatnění kogeneračních technologií (např. při spalování skládkového plynu apod.). </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Preference bude dána projektům, které budou prokazatelně mít výrazný ekologicko-energetický přínos bez významnějších negativních efektů. Celkově bude dána přednost projektům, které řeší problematiku úsporného a udržitelného využívání energií komplexně. Podporovány budou přitom jen projekty týkající se stávajících veřejně přístupných objektů.</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Podpora není určena pro novou výstavbu.</w:t>
            </w:r>
          </w:p>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Globální cíl</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Úsporné využívání energetických zdrojů</w:t>
            </w:r>
          </w:p>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Specifické cíle</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Snížit energetickou náročnost provozu města</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Zvýšit využívání obnovitelných (ekologicky příznivějších) zdrojů energie, zejména ve snaze redukovat znečištění ovzduší a ušetřit primární zdroje energie i surovin</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Omezit závislost chodu města na vnějších dodávkách energií</w:t>
            </w:r>
          </w:p>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Příjemci</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Hlavní město Praha</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Městské části hl. m. Prahy</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Organizace zřízené a založené hl. m. Prahou a městskými částmi hl. m. Prahy</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Nestátní neziskové organizace</w:t>
            </w:r>
          </w:p>
        </w:tc>
      </w:tr>
    </w:tbl>
    <w:p w:rsidR="00AC471C" w:rsidRDefault="00AC471C" w:rsidP="00AC471C">
      <w:pPr>
        <w:pStyle w:val="AMzkladn"/>
        <w:spacing w:after="0"/>
      </w:pPr>
    </w:p>
    <w:p w:rsidR="00AC471C" w:rsidRPr="00745F3F" w:rsidRDefault="00AC471C" w:rsidP="00AC471C">
      <w:pPr>
        <w:pStyle w:val="AMzkladn"/>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after="0" w:line="240" w:lineRule="auto"/>
              <w:jc w:val="center"/>
              <w:rPr>
                <w:rFonts w:ascii="Times New Roman" w:hAnsi="Times New Roman" w:cs="Times New Roman"/>
                <w:b/>
                <w:sz w:val="24"/>
                <w:szCs w:val="24"/>
              </w:rPr>
            </w:pPr>
            <w:r w:rsidRPr="00745F3F">
              <w:rPr>
                <w:rFonts w:ascii="Times New Roman" w:hAnsi="Times New Roman" w:cs="Times New Roman"/>
                <w:b/>
                <w:sz w:val="24"/>
                <w:szCs w:val="24"/>
              </w:rPr>
              <w:lastRenderedPageBreak/>
              <w:t>Prioritní osa 3 - Inovace a podnikání</w:t>
            </w:r>
          </w:p>
        </w:tc>
      </w:tr>
      <w:tr w:rsidR="00AC471C" w:rsidRPr="00745F3F" w:rsidTr="00944582">
        <w:tc>
          <w:tcPr>
            <w:tcW w:w="9212" w:type="dxa"/>
          </w:tcPr>
          <w:p w:rsidR="00AC471C" w:rsidRPr="00745F3F" w:rsidRDefault="00AC471C" w:rsidP="00944582">
            <w:pPr>
              <w:pStyle w:val="AMzkladn"/>
              <w:spacing w:after="0"/>
              <w:rPr>
                <w:b/>
              </w:rPr>
            </w:pPr>
            <w:r w:rsidRPr="00745F3F">
              <w:rPr>
                <w:b/>
              </w:rPr>
              <w:t>OBLAST PODPORY 3.2 Podpora příznivého podnikatelského prostředí</w:t>
            </w:r>
          </w:p>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Stručný popis</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Podpora podnikatelského prostředí bude sledovat zvýšení a udržení přitažlivosti Prahy pro nové a stávající podnikatele. Nezbytnou součástí bude vznik a zlepšení služeb pro podnikání, aplikace cílených forem poradenství, vzdělávání a marketingu.</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Obsahem oblasti podpory je posílení základních faktorů růstu výkonnosti a jejich efektivity, kam patří zejména. podpora aktivit zaměřených na rozvoj inovačních schopností existujících podniků, vytvoření podnikatelského prostředí pro podporu MSP v oblasti vývoje ICT </w:t>
            </w:r>
            <w:r>
              <w:rPr>
                <w:rFonts w:ascii="Times New Roman" w:hAnsi="Times New Roman" w:cs="Times New Roman"/>
                <w:sz w:val="24"/>
                <w:szCs w:val="24"/>
              </w:rPr>
              <w:br/>
            </w:r>
            <w:r w:rsidRPr="00745F3F">
              <w:rPr>
                <w:rFonts w:ascii="Times New Roman" w:hAnsi="Times New Roman" w:cs="Times New Roman"/>
                <w:sz w:val="24"/>
                <w:szCs w:val="24"/>
              </w:rPr>
              <w:t>a zakládání technologicky orientovaných firem, zlepšování podnikatelské infrastruktury, podpora transferu výsledků výzkumu a vývoje do praxe, efektivnější využití podmínek pro cestovní ruch, zvyšování kvality vzdělávacích procesů v přímé vazbě na znalostní ekonomiku a řešení problémů zaměstnávání některých skupin obyvatel města.</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Součástí aktivit budou i takové, které vytvářejí vhodné podnikatelské podmínky pro subjekty zajišťující pracovní příležitosti skupinám osob s obtížným uplatněním na pracovním trhu (např. handicapovaní, rodiče pečující o malé děti).</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Podporována bude stimulace nových forem spolupráce firem, městské správy, podnikatelských sdružení, neziskového sektoru, výzkumných a dalších institucí. Zejména se to bude týkat klastrů a jiných progresivních organizačních struktur zajišťujících nové informační, komunikační a koordinační metody při přenosu know-how, vytváření systémů nabídky a poptávky pro inovační aktivity, šíření znalostí dobré praxe, racionálního využití území města apod.</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Všechny podpořené projekty musí být šetrné k životnímu prostředí a musí být v souladu s principem rovných příležitostí.</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ŘO bude dále usilovat o maximální možnou harmonizaci s podmínkami aplikovanými na podporu MSP v rámci příslušných operačních programů v cíli EU Konvergence.</w:t>
            </w:r>
          </w:p>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Globální cíl</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Podpora vytváření komplexu podmínek podnikatelského prostředí, které umožní vznik nových a rozvoj stávajících firem a podniků </w:t>
            </w:r>
          </w:p>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Specifické cíle</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Dlouhodobě stabilizovat a dále zlepšovat atraktivní podnikatelské prostředí města</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Zlepšit a rozšířit nabídku služeb pro podporu podnikání </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Realizovat takové formy a nástroje podpory, které povedou ke zvýšení celkové konkurenceschopnosti i řešení specifických problémů pražské ekonomické základny a k zajištění jejího podílu na růstu úrovně znalostní ekonomiky státu</w:t>
            </w:r>
          </w:p>
          <w:p w:rsidR="00AC471C" w:rsidRPr="00745F3F" w:rsidRDefault="00AC471C" w:rsidP="00944582">
            <w:pPr>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Příjemci</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Hlavní město Praha</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Městské části hl. m. Prahy</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Organizace zřízené a založené hl. m. Prahou a městskými částmi hl. m. Prahy</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Nestátní neziskové organizace</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Profesní a zájmová sdružení (podnikatelská sdružení, hospodářské komory apod.)</w:t>
            </w:r>
          </w:p>
        </w:tc>
      </w:tr>
    </w:tbl>
    <w:p w:rsidR="00AC471C" w:rsidRDefault="00AC471C" w:rsidP="00AC471C">
      <w:pPr>
        <w:pStyle w:val="I-C2podkapitola"/>
        <w:spacing w:before="0" w:after="0"/>
      </w:pPr>
      <w:bookmarkStart w:id="2" w:name="_Toc271398052"/>
    </w:p>
    <w:p w:rsidR="00AC471C" w:rsidRPr="00745F3F" w:rsidRDefault="00AC471C" w:rsidP="00AC471C">
      <w:pPr>
        <w:pStyle w:val="I-C2podkapitola"/>
        <w:spacing w:before="0" w:after="0"/>
      </w:pPr>
      <w:r w:rsidRPr="00745F3F">
        <w:t>5.</w:t>
      </w:r>
      <w:r>
        <w:t>1.</w:t>
      </w:r>
      <w:r w:rsidRPr="00745F3F">
        <w:t>2</w:t>
      </w:r>
      <w:r w:rsidRPr="00745F3F">
        <w:tab/>
        <w:t>Operační program Praha – Adaptabilita</w:t>
      </w:r>
      <w:bookmarkEnd w:id="2"/>
    </w:p>
    <w:p w:rsidR="00AC471C" w:rsidRPr="00745F3F" w:rsidRDefault="00AC471C" w:rsidP="00AC471C">
      <w:p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Operační program Praha – Adaptabilita (OPPA) je jedním ze tří programů v České republice, který bude v období let 2007 – 2013 využívat prostředky Evropského sociálního fondu.</w:t>
      </w:r>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Globálním cílem OPPA je zvýšení konkurenceschopnosti Prahy posílením adaptability </w:t>
      </w:r>
      <w:r w:rsidRPr="00745F3F">
        <w:rPr>
          <w:rFonts w:ascii="Times New Roman" w:hAnsi="Times New Roman" w:cs="Times New Roman"/>
          <w:sz w:val="24"/>
          <w:szCs w:val="24"/>
        </w:rPr>
        <w:br/>
        <w:t xml:space="preserve">a výkonnosti lidských zdrojů a zlepšením přístupu k zaměstnání pro všechny. OPPA se proto zaměřuje na vzdělávání a boj proti sociálnímu vyloučení. Program je taktéž platný pouze pro území hlavního města Prahy. Z operačního programu Praha – Adaptabilita nejsou podporovány projekty městských částí. </w:t>
      </w:r>
    </w:p>
    <w:p w:rsidR="00AC471C" w:rsidRPr="00745F3F" w:rsidRDefault="00AC471C" w:rsidP="00AC471C">
      <w:pPr>
        <w:autoSpaceDE w:val="0"/>
        <w:autoSpaceDN w:val="0"/>
        <w:adjustRightInd w:val="0"/>
        <w:spacing w:after="0" w:line="240" w:lineRule="auto"/>
        <w:rPr>
          <w:rFonts w:ascii="Times New Roman" w:hAnsi="Times New Roman" w:cs="Times New Roman"/>
          <w:sz w:val="24"/>
          <w:szCs w:val="24"/>
        </w:rPr>
      </w:pPr>
    </w:p>
    <w:p w:rsidR="00AC471C" w:rsidRPr="00745F3F" w:rsidRDefault="00AC471C" w:rsidP="00AC471C">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after="0" w:line="240" w:lineRule="auto"/>
              <w:jc w:val="center"/>
              <w:rPr>
                <w:rFonts w:ascii="Times New Roman" w:hAnsi="Times New Roman" w:cs="Times New Roman"/>
                <w:b/>
                <w:sz w:val="24"/>
                <w:szCs w:val="24"/>
              </w:rPr>
            </w:pPr>
            <w:r w:rsidRPr="00745F3F">
              <w:rPr>
                <w:rFonts w:ascii="Times New Roman" w:hAnsi="Times New Roman" w:cs="Times New Roman"/>
                <w:b/>
                <w:sz w:val="24"/>
                <w:szCs w:val="24"/>
              </w:rPr>
              <w:t>Prioritní osa 1 – Podpora rozvoje znalostní ekonomiky</w:t>
            </w:r>
          </w:p>
        </w:tc>
      </w:tr>
      <w:tr w:rsidR="00AC471C" w:rsidRPr="00745F3F" w:rsidTr="00944582">
        <w:tc>
          <w:tcPr>
            <w:tcW w:w="9212" w:type="dxa"/>
          </w:tcPr>
          <w:p w:rsidR="00AC471C" w:rsidRPr="00745F3F" w:rsidRDefault="00AC471C" w:rsidP="00944582">
            <w:pPr>
              <w:spacing w:after="0" w:line="240" w:lineRule="auto"/>
              <w:jc w:val="both"/>
              <w:rPr>
                <w:rFonts w:ascii="Times New Roman" w:hAnsi="Times New Roman" w:cs="Times New Roman"/>
                <w:b/>
                <w:bCs/>
                <w:sz w:val="24"/>
                <w:szCs w:val="24"/>
              </w:rPr>
            </w:pPr>
            <w:r w:rsidRPr="00745F3F">
              <w:rPr>
                <w:rFonts w:ascii="Times New Roman" w:hAnsi="Times New Roman" w:cs="Times New Roman"/>
                <w:b/>
                <w:bCs/>
                <w:sz w:val="24"/>
                <w:szCs w:val="24"/>
              </w:rPr>
              <w:t>Specifický cíl</w:t>
            </w:r>
          </w:p>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Zvýšení profesní mobility a adaptability pracovníků a zaměstnavatelů směřující ke zvýšení kvality a produktivity práce. Tento specifický cíl vychází z priority ESF pro Cíl Regionální konkurenceschopnost a zaměstnanost podle na řízení Rady (ES) č.1081/2006, čl.3, odst </w:t>
            </w:r>
            <w:smartTag w:uri="urn:schemas-microsoft-com:office:smarttags" w:element="metricconverter">
              <w:smartTagPr>
                <w:attr w:name="ProductID" w:val="1. a"/>
              </w:smartTagPr>
              <w:r w:rsidRPr="00745F3F">
                <w:rPr>
                  <w:rFonts w:ascii="Times New Roman" w:hAnsi="Times New Roman" w:cs="Times New Roman"/>
                  <w:sz w:val="24"/>
                  <w:szCs w:val="24"/>
                </w:rPr>
                <w:t>1. a</w:t>
              </w:r>
            </w:smartTag>
            <w:r w:rsidRPr="00745F3F">
              <w:rPr>
                <w:rFonts w:ascii="Times New Roman" w:hAnsi="Times New Roman" w:cs="Times New Roman"/>
                <w:sz w:val="24"/>
                <w:szCs w:val="24"/>
              </w:rPr>
              <w:t>).</w:t>
            </w:r>
          </w:p>
        </w:tc>
      </w:tr>
    </w:tbl>
    <w:p w:rsidR="00AC471C" w:rsidRPr="00745F3F" w:rsidRDefault="00AC471C" w:rsidP="00AC471C">
      <w:pPr>
        <w:spacing w:after="0" w:line="240" w:lineRule="auto"/>
        <w:rPr>
          <w:rFonts w:ascii="Times New Roman" w:hAnsi="Times New Roman" w:cs="Times New Roman"/>
          <w:sz w:val="24"/>
          <w:szCs w:val="24"/>
        </w:rPr>
      </w:pPr>
    </w:p>
    <w:p w:rsidR="00AC471C" w:rsidRPr="00745F3F" w:rsidRDefault="00AC471C" w:rsidP="00AC471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after="0" w:line="240" w:lineRule="auto"/>
              <w:jc w:val="center"/>
              <w:rPr>
                <w:rFonts w:ascii="Times New Roman" w:hAnsi="Times New Roman" w:cs="Times New Roman"/>
                <w:b/>
                <w:sz w:val="24"/>
                <w:szCs w:val="24"/>
              </w:rPr>
            </w:pPr>
            <w:r w:rsidRPr="00745F3F">
              <w:rPr>
                <w:rFonts w:ascii="Times New Roman" w:hAnsi="Times New Roman" w:cs="Times New Roman"/>
                <w:b/>
                <w:sz w:val="24"/>
                <w:szCs w:val="24"/>
              </w:rPr>
              <w:t>Prioritní osa 2 - Podpora vstupu na trh práce</w:t>
            </w:r>
          </w:p>
        </w:tc>
      </w:tr>
      <w:tr w:rsidR="00AC471C" w:rsidRPr="00745F3F" w:rsidTr="00944582">
        <w:tc>
          <w:tcPr>
            <w:tcW w:w="9212" w:type="dxa"/>
          </w:tcPr>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Zlepšení dostupnosti zaměstnání pro znevýhodněné osoby a zvýšení jejich účasti na trhu práce. Tento specifický cíl vychází z priority ESF pro Cíl Regionální konkurenceschopnost a zaměstnanost podle na řízení Rady (ES) č. 1081/2006, čl. 3, odst 1. c).</w:t>
            </w:r>
          </w:p>
        </w:tc>
      </w:tr>
    </w:tbl>
    <w:p w:rsidR="00AC471C" w:rsidRPr="00745F3F" w:rsidRDefault="00AC471C" w:rsidP="00AC471C">
      <w:pPr>
        <w:spacing w:after="0" w:line="240" w:lineRule="auto"/>
        <w:rPr>
          <w:rFonts w:ascii="Times New Roman" w:hAnsi="Times New Roman" w:cs="Times New Roman"/>
          <w:sz w:val="24"/>
          <w:szCs w:val="24"/>
        </w:rPr>
      </w:pPr>
    </w:p>
    <w:p w:rsidR="00AC471C" w:rsidRPr="00745F3F" w:rsidRDefault="00AC471C" w:rsidP="00AC471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after="0" w:line="240" w:lineRule="auto"/>
              <w:jc w:val="center"/>
              <w:rPr>
                <w:rFonts w:ascii="Times New Roman" w:hAnsi="Times New Roman" w:cs="Times New Roman"/>
                <w:b/>
                <w:sz w:val="24"/>
                <w:szCs w:val="24"/>
              </w:rPr>
            </w:pPr>
            <w:r w:rsidRPr="00745F3F">
              <w:rPr>
                <w:rFonts w:ascii="Times New Roman" w:hAnsi="Times New Roman" w:cs="Times New Roman"/>
                <w:b/>
                <w:sz w:val="24"/>
                <w:szCs w:val="24"/>
              </w:rPr>
              <w:t>Prioritní osa 3 – Modernizace počátečního vzdělávání</w:t>
            </w:r>
          </w:p>
        </w:tc>
      </w:tr>
      <w:tr w:rsidR="00AC471C" w:rsidRPr="00745F3F" w:rsidTr="00944582">
        <w:tc>
          <w:tcPr>
            <w:tcW w:w="9212" w:type="dxa"/>
          </w:tcPr>
          <w:p w:rsidR="00AC471C" w:rsidRPr="00745F3F" w:rsidRDefault="00AC471C" w:rsidP="00944582">
            <w:pPr>
              <w:pStyle w:val="Zkladntext"/>
              <w:jc w:val="both"/>
              <w:rPr>
                <w:b w:val="0"/>
                <w:sz w:val="24"/>
                <w:szCs w:val="24"/>
              </w:rPr>
            </w:pPr>
            <w:r w:rsidRPr="00745F3F">
              <w:rPr>
                <w:b w:val="0"/>
                <w:sz w:val="24"/>
                <w:szCs w:val="24"/>
              </w:rPr>
              <w:t xml:space="preserve">Zvýšení kvality vzdělávání a odborné přípravy lidí, které odpovídají požadavkům trhu práce. Tento specifický cíl vychází z priority ESF pro Cíl Regionální konkurenceschopnost </w:t>
            </w:r>
            <w:r w:rsidRPr="00745F3F">
              <w:rPr>
                <w:b w:val="0"/>
                <w:sz w:val="24"/>
                <w:szCs w:val="24"/>
              </w:rPr>
              <w:br/>
              <w:t>a zaměstnanost podle na řízení Rady (ES) č. 1081/2006, čl. 3, odst 1. d).</w:t>
            </w:r>
          </w:p>
        </w:tc>
      </w:tr>
    </w:tbl>
    <w:p w:rsidR="00AC471C" w:rsidRPr="00745F3F" w:rsidRDefault="00AC471C" w:rsidP="00AC471C">
      <w:pPr>
        <w:pStyle w:val="I-C2podkapitola"/>
      </w:pPr>
      <w:bookmarkStart w:id="3" w:name="_Toc271398053"/>
      <w:r w:rsidRPr="00745F3F">
        <w:t>5.</w:t>
      </w:r>
      <w:r>
        <w:t>1.</w:t>
      </w:r>
      <w:r w:rsidRPr="00745F3F">
        <w:t>3</w:t>
      </w:r>
      <w:r w:rsidRPr="00745F3F">
        <w:tab/>
        <w:t>Operační program Životní prostředí</w:t>
      </w:r>
      <w:bookmarkEnd w:id="3"/>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Operační program Životní prostředí je tematickým programem, ze kterého je možné čerpat finanční prostředky formou nevratných dotací na velmi široké spektrum environmentálních typů projektů. Cílem programu je ochrana a zlepšování kvality životního prostředí jako základního principu trvale udržitelného rozvoje. Možnosti čerpání pro Hlavní město Praha </w:t>
      </w:r>
      <w:r w:rsidRPr="00745F3F">
        <w:rPr>
          <w:rFonts w:ascii="Times New Roman" w:hAnsi="Times New Roman" w:cs="Times New Roman"/>
          <w:sz w:val="24"/>
          <w:szCs w:val="24"/>
        </w:rPr>
        <w:br/>
        <w:t xml:space="preserve">a jeho části jsou omezené na první čtyři prioritní osy. </w:t>
      </w:r>
    </w:p>
    <w:p w:rsidR="00AC471C" w:rsidRPr="00745F3F" w:rsidRDefault="00AC471C" w:rsidP="00AC471C">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before="120" w:after="120"/>
              <w:jc w:val="center"/>
              <w:rPr>
                <w:rFonts w:ascii="Times New Roman" w:hAnsi="Times New Roman" w:cs="Times New Roman"/>
                <w:b/>
                <w:sz w:val="24"/>
                <w:szCs w:val="24"/>
              </w:rPr>
            </w:pPr>
            <w:r w:rsidRPr="00745F3F">
              <w:rPr>
                <w:rFonts w:ascii="Times New Roman" w:hAnsi="Times New Roman" w:cs="Times New Roman"/>
                <w:b/>
                <w:sz w:val="24"/>
                <w:szCs w:val="24"/>
              </w:rPr>
              <w:t>Prioritní osa 1 – Zlepšování vodohospodářské infrastruktury a snižování rizika povodní</w:t>
            </w:r>
          </w:p>
        </w:tc>
      </w:tr>
      <w:tr w:rsidR="00AC471C" w:rsidRPr="00745F3F" w:rsidTr="00944582">
        <w:tc>
          <w:tcPr>
            <w:tcW w:w="9212" w:type="dxa"/>
          </w:tcPr>
          <w:p w:rsidR="00AC471C" w:rsidRPr="00745F3F" w:rsidRDefault="00AC471C" w:rsidP="00944582">
            <w:p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OBLAST PODPORY 1.1 Snížení znečištění vod</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zvýšení počtu ekvivalentních obyvatel napojených na kanalizaci a vyhovující čistírnu odpadních vod,</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zlepšení čistoty vodních toků,</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zlepšení úrovně kalového hospodářství,</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omezení obsahu zvlášť nebezpečných látek ve vodách,</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snížení eutrofizace povrchových vod,</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zajištění komplexního monitoringu vod.</w:t>
            </w:r>
          </w:p>
          <w:p w:rsidR="00AC471C" w:rsidRPr="00745F3F" w:rsidRDefault="00AC471C" w:rsidP="00944582">
            <w:p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OBLAST PODPORY 1.2 Zlepšení jakosti pitné vody</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výstavba, rekonstrukce a intenzifikace úpraven vody a zdrojů pitné vody zásobujících více než 2000 obyvatel,</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výstavba, rekonstrukce a dostavba přivaděčů a rozvodných sítí pitné vody v obcích nad 2000 obyvatel,</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 xml:space="preserve">výstavba, rekonstrukce a intenzifikace úpraven a zdrojů pitné vody a výstavba, rekonstrukce a dostavba přivaděčů a rozvodných sítí pitné vody v aglomeracích pod 2000 obyvatel, které jsou zároveň umístěny v územích vyžadujících zvláštní ochranu (NP, CHKO, lokality soustavy Natura 2000, ochranná pásma NP) a v povodí vodního díla </w:t>
            </w:r>
            <w:r w:rsidRPr="00745F3F">
              <w:rPr>
                <w:rFonts w:ascii="Times New Roman" w:hAnsi="Times New Roman" w:cs="Times New Roman"/>
                <w:sz w:val="24"/>
                <w:szCs w:val="24"/>
              </w:rPr>
              <w:lastRenderedPageBreak/>
              <w:t>Nové Mlýny.</w:t>
            </w:r>
          </w:p>
          <w:p w:rsidR="00AC471C" w:rsidRPr="00745F3F" w:rsidRDefault="00AC471C" w:rsidP="00944582">
            <w:p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OBLAST PODPORY 1.3 Omezení rizika povodní</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budování, rekonstrukce a modernizace vybavení informačního systému předpovědní povodňové služby a hlásné povodňové služby na státní, regionální a místní úrovni,</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 xml:space="preserve">investiční podpora zpracování mapových podkladů o povodňovém nebezpečí </w:t>
            </w:r>
            <w:r>
              <w:rPr>
                <w:rFonts w:ascii="Times New Roman" w:hAnsi="Times New Roman" w:cs="Times New Roman"/>
                <w:sz w:val="24"/>
                <w:szCs w:val="24"/>
              </w:rPr>
              <w:br/>
            </w:r>
            <w:r w:rsidRPr="00745F3F">
              <w:rPr>
                <w:rFonts w:ascii="Times New Roman" w:hAnsi="Times New Roman" w:cs="Times New Roman"/>
                <w:sz w:val="24"/>
                <w:szCs w:val="24"/>
              </w:rPr>
              <w:t>a povodňovém riziku s konkretizovanými výstupy na státní a regionální úrovni,</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 xml:space="preserve">realizace opatření pro snížení rychlosti odtoku vody z povodí a eliminaci povodňových průtoků formou podpory přirozených rozlivů, poldrů, úprav koryt v současně zastavěných územích obcí a dalších opatření ke zlepšení vodního režimu krajiny </w:t>
            </w:r>
            <w:r>
              <w:rPr>
                <w:rFonts w:ascii="Times New Roman" w:hAnsi="Times New Roman" w:cs="Times New Roman"/>
                <w:sz w:val="24"/>
                <w:szCs w:val="24"/>
              </w:rPr>
              <w:br/>
            </w:r>
            <w:r w:rsidRPr="00745F3F">
              <w:rPr>
                <w:rFonts w:ascii="Times New Roman" w:hAnsi="Times New Roman" w:cs="Times New Roman"/>
                <w:sz w:val="24"/>
                <w:szCs w:val="24"/>
              </w:rPr>
              <w:t>s významným protipovodňovým efektem, prováděných přírodě blízkým způsobem.</w:t>
            </w:r>
          </w:p>
        </w:tc>
      </w:tr>
    </w:tbl>
    <w:p w:rsidR="00AC471C" w:rsidRPr="00745F3F" w:rsidRDefault="00AC471C" w:rsidP="00AC471C">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before="120" w:after="120"/>
              <w:jc w:val="center"/>
              <w:rPr>
                <w:rFonts w:ascii="Times New Roman" w:hAnsi="Times New Roman" w:cs="Times New Roman"/>
                <w:b/>
                <w:sz w:val="24"/>
                <w:szCs w:val="24"/>
              </w:rPr>
            </w:pPr>
            <w:r w:rsidRPr="00745F3F">
              <w:rPr>
                <w:rFonts w:ascii="Times New Roman" w:hAnsi="Times New Roman" w:cs="Times New Roman"/>
                <w:b/>
                <w:sz w:val="24"/>
                <w:szCs w:val="24"/>
              </w:rPr>
              <w:t>Prioritní osa 2 – Zlepšování kvality ovzduší a snižování emisí</w:t>
            </w:r>
          </w:p>
        </w:tc>
      </w:tr>
      <w:tr w:rsidR="00AC471C" w:rsidRPr="00745F3F" w:rsidTr="00944582">
        <w:tc>
          <w:tcPr>
            <w:tcW w:w="9212" w:type="dxa"/>
          </w:tcPr>
          <w:p w:rsidR="00AC471C" w:rsidRPr="00745F3F" w:rsidRDefault="00AC471C" w:rsidP="00944582">
            <w:p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OBLAST PODPORY 2.1 Zlepšování kvality ovzduší</w:t>
            </w:r>
          </w:p>
          <w:p w:rsidR="00AC471C" w:rsidRPr="00745F3F" w:rsidRDefault="00AC471C" w:rsidP="00944582">
            <w:p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Projekty jsou přijatelné pouze tehdy, pokud jsou obsaženy v příslušném programu </w:t>
            </w:r>
            <w:r>
              <w:rPr>
                <w:rFonts w:ascii="Times New Roman" w:hAnsi="Times New Roman" w:cs="Times New Roman"/>
                <w:sz w:val="24"/>
                <w:szCs w:val="24"/>
              </w:rPr>
              <w:br/>
            </w:r>
            <w:r w:rsidRPr="00745F3F">
              <w:rPr>
                <w:rFonts w:ascii="Times New Roman" w:hAnsi="Times New Roman" w:cs="Times New Roman"/>
                <w:sz w:val="24"/>
                <w:szCs w:val="24"/>
              </w:rPr>
              <w:t>ke zlepšení kvality ovzduší, který je zpracován a přijat v souladu se zákonem o ochraně ovzduší.</w:t>
            </w:r>
          </w:p>
          <w:p w:rsidR="00AC471C" w:rsidRPr="00745F3F" w:rsidRDefault="00AC471C" w:rsidP="00944582">
            <w:p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a)  Snížení emisí a energetické úspory u budov, vyjma budov určených k bydlení:</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pořízení nízkoemisního zdroje,</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pořízení nízkoemisního zdroje a současná realizace energetických úspor.</w:t>
            </w:r>
          </w:p>
          <w:p w:rsidR="00AC471C" w:rsidRPr="00745F3F" w:rsidRDefault="00AC471C" w:rsidP="00944582">
            <w:pPr>
              <w:autoSpaceDE w:val="0"/>
              <w:autoSpaceDN w:val="0"/>
              <w:adjustRightInd w:val="0"/>
              <w:spacing w:after="0" w:line="240" w:lineRule="auto"/>
              <w:ind w:left="357" w:hanging="360"/>
              <w:jc w:val="both"/>
              <w:rPr>
                <w:rFonts w:ascii="Times New Roman" w:hAnsi="Times New Roman" w:cs="Times New Roman"/>
                <w:sz w:val="24"/>
                <w:szCs w:val="24"/>
              </w:rPr>
            </w:pPr>
            <w:r w:rsidRPr="00745F3F">
              <w:rPr>
                <w:rFonts w:ascii="Times New Roman" w:hAnsi="Times New Roman" w:cs="Times New Roman"/>
                <w:b/>
                <w:sz w:val="24"/>
                <w:szCs w:val="24"/>
              </w:rPr>
              <w:t>b)  Snížení emisí prostřednictvím nových energetických systémů:</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57" w:hanging="180"/>
              <w:jc w:val="both"/>
              <w:rPr>
                <w:rFonts w:ascii="Times New Roman" w:hAnsi="Times New Roman" w:cs="Times New Roman"/>
                <w:sz w:val="24"/>
                <w:szCs w:val="24"/>
              </w:rPr>
            </w:pPr>
            <w:r w:rsidRPr="00745F3F">
              <w:rPr>
                <w:rFonts w:ascii="Times New Roman" w:hAnsi="Times New Roman" w:cs="Times New Roman"/>
                <w:sz w:val="24"/>
                <w:szCs w:val="24"/>
              </w:rPr>
              <w:t>nově budované rozvody tepla včetně centrálního zdroje v nových lokalitách a rozšiřování stávajících rozvodů za účelem připojení nových zákazníků; Za výstavbu nových rozvodů jsou považovány i projekty, kdy dochází k celkové rekonstrukci zdroje včetně rozvodů, například z důvodu přechodu z parního na teplovodní systém,</w:t>
            </w:r>
          </w:p>
          <w:p w:rsidR="00AC471C" w:rsidRPr="00BD391A" w:rsidRDefault="00AC471C" w:rsidP="00AC471C">
            <w:pPr>
              <w:numPr>
                <w:ilvl w:val="0"/>
                <w:numId w:val="4"/>
              </w:numPr>
              <w:tabs>
                <w:tab w:val="clear" w:pos="1800"/>
                <w:tab w:val="num" w:pos="360"/>
              </w:tabs>
              <w:autoSpaceDE w:val="0"/>
              <w:autoSpaceDN w:val="0"/>
              <w:adjustRightInd w:val="0"/>
              <w:spacing w:after="0" w:line="240" w:lineRule="auto"/>
              <w:ind w:left="357" w:hanging="180"/>
              <w:jc w:val="both"/>
              <w:rPr>
                <w:rFonts w:ascii="Times New Roman" w:hAnsi="Times New Roman" w:cs="Times New Roman"/>
                <w:sz w:val="24"/>
                <w:szCs w:val="24"/>
              </w:rPr>
            </w:pPr>
            <w:r w:rsidRPr="00745F3F">
              <w:rPr>
                <w:rFonts w:ascii="Times New Roman" w:hAnsi="Times New Roman" w:cs="Times New Roman"/>
                <w:sz w:val="24"/>
                <w:szCs w:val="24"/>
              </w:rPr>
              <w:t>rozšíření stávající středotlaké plynovodní sítě.</w:t>
            </w:r>
          </w:p>
          <w:p w:rsidR="00AC471C" w:rsidRPr="00745F3F" w:rsidRDefault="00AC471C" w:rsidP="00944582">
            <w:pPr>
              <w:autoSpaceDE w:val="0"/>
              <w:autoSpaceDN w:val="0"/>
              <w:adjustRightInd w:val="0"/>
              <w:spacing w:after="0" w:line="240" w:lineRule="auto"/>
              <w:ind w:left="357" w:hanging="360"/>
              <w:jc w:val="both"/>
              <w:rPr>
                <w:rFonts w:ascii="Times New Roman" w:hAnsi="Times New Roman" w:cs="Times New Roman"/>
                <w:sz w:val="24"/>
                <w:szCs w:val="24"/>
              </w:rPr>
            </w:pPr>
            <w:r w:rsidRPr="00745F3F">
              <w:rPr>
                <w:rFonts w:ascii="Times New Roman" w:hAnsi="Times New Roman" w:cs="Times New Roman"/>
                <w:b/>
                <w:sz w:val="24"/>
                <w:szCs w:val="24"/>
              </w:rPr>
              <w:t>c)  Snížení imisní zátěže omezením prašnosti z plošných zdrojů:</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57" w:hanging="180"/>
              <w:rPr>
                <w:rFonts w:ascii="Times New Roman" w:hAnsi="Times New Roman" w:cs="Times New Roman"/>
                <w:sz w:val="24"/>
                <w:szCs w:val="24"/>
              </w:rPr>
            </w:pPr>
            <w:r w:rsidRPr="00745F3F">
              <w:rPr>
                <w:rFonts w:ascii="Times New Roman" w:hAnsi="Times New Roman" w:cs="Times New Roman"/>
                <w:sz w:val="24"/>
                <w:szCs w:val="24"/>
              </w:rPr>
              <w:t>výsadba a regenerace izolační zeleně oddělující obytnou zástavbu od průmyslových staveb či komerčních areálů nebo frekventovaných dopravních koridorů a vymezené pro tento účel v územně plánovací dokumentaci.</w:t>
            </w:r>
          </w:p>
          <w:p w:rsidR="00AC471C" w:rsidRPr="00745F3F" w:rsidRDefault="00AC471C" w:rsidP="00944582">
            <w:p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OBLAST PODPORY 2.2 Omezování emisí</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rekonstrukce spalovacích zdrojů s instalovaným výkonem větším než 5 MW za účelem snížení emisí NOx a prachových částic nad rámec platných standardů Evropských společenství s výjimkou zdrojů spalujících biomasu,</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rekonstrukce zdrojů nebo instalace dodatečných zařízení pro záchyt emisí NOx nebo prachových částic u nespalovacích zdrojů,</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technická opatření na zdrojích vedoucích k odstranění či snížení emisí VOC do ovzduší (např.: přechod na vodo</w:t>
            </w:r>
            <w:r>
              <w:rPr>
                <w:rFonts w:ascii="Times New Roman" w:hAnsi="Times New Roman" w:cs="Times New Roman"/>
                <w:sz w:val="24"/>
                <w:szCs w:val="24"/>
              </w:rPr>
              <w:t>u</w:t>
            </w:r>
            <w:r w:rsidRPr="00745F3F">
              <w:rPr>
                <w:rFonts w:ascii="Times New Roman" w:hAnsi="Times New Roman" w:cs="Times New Roman"/>
                <w:sz w:val="24"/>
                <w:szCs w:val="24"/>
              </w:rPr>
              <w:t>ředitelné barvy, laky a lepidla, instalace katalytických či termooxidačních jednotek),</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opatření na zdrojích vedoucích k odstranění či snížení emisí NH3 do ovzduší.</w:t>
            </w:r>
          </w:p>
          <w:p w:rsidR="00AC471C" w:rsidRPr="00745F3F" w:rsidRDefault="00AC471C" w:rsidP="00944582">
            <w:p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Velké projekty v oblasti prioritní osy 2 budou zaměřeny na snížení emisí NOx a PM10 ze zvláště velkých spalovacích zdrojů s cílem přispět ke splnění národního emisního stropu pro NOx a imisního limitu pro PM10.</w:t>
            </w:r>
          </w:p>
        </w:tc>
      </w:tr>
      <w:tr w:rsidR="00AC471C" w:rsidRPr="00745F3F" w:rsidTr="00944582">
        <w:tc>
          <w:tcPr>
            <w:tcW w:w="9212" w:type="dxa"/>
            <w:shd w:val="clear" w:color="auto" w:fill="E0E0E0"/>
          </w:tcPr>
          <w:p w:rsidR="00AC471C" w:rsidRPr="00745F3F" w:rsidRDefault="00AC471C" w:rsidP="00944582">
            <w:pPr>
              <w:autoSpaceDE w:val="0"/>
              <w:autoSpaceDN w:val="0"/>
              <w:adjustRightInd w:val="0"/>
              <w:spacing w:before="120" w:after="120"/>
              <w:jc w:val="center"/>
              <w:rPr>
                <w:rFonts w:ascii="Times New Roman" w:hAnsi="Times New Roman" w:cs="Times New Roman"/>
                <w:b/>
                <w:sz w:val="24"/>
                <w:szCs w:val="24"/>
              </w:rPr>
            </w:pPr>
            <w:r w:rsidRPr="00745F3F">
              <w:rPr>
                <w:rFonts w:ascii="Times New Roman" w:hAnsi="Times New Roman" w:cs="Times New Roman"/>
                <w:b/>
                <w:sz w:val="24"/>
                <w:szCs w:val="24"/>
              </w:rPr>
              <w:t>Prioritní osa 3 – Udržitelné využívání zdrojů energie</w:t>
            </w:r>
          </w:p>
        </w:tc>
      </w:tr>
      <w:tr w:rsidR="00AC471C" w:rsidRPr="00745F3F" w:rsidTr="00944582">
        <w:tc>
          <w:tcPr>
            <w:tcW w:w="9212" w:type="dxa"/>
          </w:tcPr>
          <w:p w:rsidR="00AC471C" w:rsidRPr="00745F3F" w:rsidRDefault="00AC471C" w:rsidP="00944582">
            <w:pPr>
              <w:autoSpaceDE w:val="0"/>
              <w:autoSpaceDN w:val="0"/>
              <w:adjustRightInd w:val="0"/>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OBLAST PODPORY 3.1 Výstavba nových zařízení a rekonstrukce stávajících zařízení s cílem zvýšení využívání OZE pro výrobu tepla, elektřiny a kombinované výroby tepla a elektřiny</w:t>
            </w:r>
          </w:p>
          <w:p w:rsidR="00AC471C" w:rsidRPr="00745F3F" w:rsidRDefault="00AC471C" w:rsidP="00944582">
            <w:p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Mezi vhodné a podporované aktivity náleží výstavba a rekonstrukce výtopen, elektráren </w:t>
            </w:r>
            <w:r w:rsidRPr="00745F3F">
              <w:rPr>
                <w:rFonts w:ascii="Times New Roman" w:hAnsi="Times New Roman" w:cs="Times New Roman"/>
                <w:sz w:val="24"/>
                <w:szCs w:val="24"/>
              </w:rPr>
              <w:br/>
            </w:r>
            <w:r w:rsidRPr="00745F3F">
              <w:rPr>
                <w:rFonts w:ascii="Times New Roman" w:hAnsi="Times New Roman" w:cs="Times New Roman"/>
                <w:sz w:val="24"/>
                <w:szCs w:val="24"/>
              </w:rPr>
              <w:lastRenderedPageBreak/>
              <w:t>a tepláren (kogenerace) s využitím OZE, zejména:</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instalace fototermických systémů pro přípravu teplé vody a dodávku tepla, resp. pro možnost přitápění,</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instalace fotovoltaických systémů pro výrobu elektřiny,</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instalace tepelných čerpadel pro dodávku tepla a pro přípravu teplé vody,</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instalace kotlů na biomasu a systémů využívajících biomasu pro výrobu elektřiny, pro dodávku tepla a pro přípravu teplé vody, event. v kombinaci s výstavbou centrální výrobny paliv včetně technologické linky,</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instalace kogeneračních jednotek pro kombinovanou výrobu tepla a elektrické energie z biomasy, skládkového plynu, bioplynu apod.,</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 xml:space="preserve">instalace systémů pro dodávku tepla včetně přípravy teplé vody, pro dodávku elektřiny </w:t>
            </w:r>
            <w:r w:rsidRPr="00745F3F">
              <w:rPr>
                <w:rFonts w:ascii="Times New Roman" w:hAnsi="Times New Roman" w:cs="Times New Roman"/>
                <w:sz w:val="24"/>
                <w:szCs w:val="24"/>
              </w:rPr>
              <w:br/>
              <w:t>a kombinované výroby tepla a elektřiny s využitím geotermálních systémů,</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instalace větrných elektráren,</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rPr>
                <w:rFonts w:ascii="Times New Roman" w:hAnsi="Times New Roman" w:cs="Times New Roman"/>
                <w:sz w:val="24"/>
                <w:szCs w:val="24"/>
              </w:rPr>
            </w:pPr>
            <w:r w:rsidRPr="00745F3F">
              <w:rPr>
                <w:rFonts w:ascii="Times New Roman" w:hAnsi="Times New Roman" w:cs="Times New Roman"/>
                <w:sz w:val="24"/>
                <w:szCs w:val="24"/>
              </w:rPr>
              <w:t>instalace malých vodních elektráren.</w:t>
            </w:r>
          </w:p>
          <w:p w:rsidR="00AC471C" w:rsidRPr="00745F3F" w:rsidRDefault="00AC471C" w:rsidP="00944582">
            <w:pPr>
              <w:autoSpaceDE w:val="0"/>
              <w:autoSpaceDN w:val="0"/>
              <w:adjustRightInd w:val="0"/>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OBLAST PODPORY 3.2 Realizace úspor a využití odpadního tepla</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zateplovací systémy budov,</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zrušení tepelných mostů,</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měření a regulace,</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instalace zařízení na využívání odpadního tepla k výrobě tepelné či elektrické energie.</w:t>
            </w:r>
          </w:p>
        </w:tc>
      </w:tr>
    </w:tbl>
    <w:p w:rsidR="00AC471C" w:rsidRPr="00745F3F" w:rsidRDefault="00AC471C" w:rsidP="00AC471C">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before="120" w:after="120"/>
              <w:jc w:val="center"/>
              <w:rPr>
                <w:rFonts w:ascii="Times New Roman" w:hAnsi="Times New Roman" w:cs="Times New Roman"/>
                <w:b/>
                <w:sz w:val="24"/>
                <w:szCs w:val="24"/>
              </w:rPr>
            </w:pPr>
            <w:r w:rsidRPr="00745F3F">
              <w:rPr>
                <w:rFonts w:ascii="Times New Roman" w:hAnsi="Times New Roman" w:cs="Times New Roman"/>
                <w:b/>
                <w:sz w:val="24"/>
                <w:szCs w:val="24"/>
              </w:rPr>
              <w:t>Prioritní osa 4 – Zkvalitnění nakládání s odpady a odstraňování starých ekologických zátěží</w:t>
            </w:r>
          </w:p>
        </w:tc>
      </w:tr>
      <w:tr w:rsidR="00AC471C" w:rsidRPr="00745F3F" w:rsidTr="00944582">
        <w:tc>
          <w:tcPr>
            <w:tcW w:w="9212" w:type="dxa"/>
          </w:tcPr>
          <w:p w:rsidR="00AC471C" w:rsidRPr="00745F3F" w:rsidRDefault="00AC471C" w:rsidP="00944582">
            <w:p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OBLAST PODPORY 4.1 Zkvalitnění nakládání s odpady</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budování integrovaných systémů nakládání s odpady,</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budování systémů odděleného sběru odpadů,</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budování zařízení na využívání odpadů, zejména na třídění, úpravu a recyklaci odpadů,</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budování sběrných dvorů a skladů,</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budování zařízení na nakládání s nebezpečnými odpady (vyjma skládkování),</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budování systémů odděleného sběru nebezpečných odpadů, včetně nebezpečných komunálních odpadů a nebezpečných odpadů ze zdravotnictví,</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rekultivace starých skládek, včetně komunálního a ostatního odpadu,</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odstranění nepovolených (černých) skládek ve zvláště chráněných územích, evropsky významných lokalitách a ptačích oblastech,</w:t>
            </w:r>
          </w:p>
          <w:p w:rsidR="00AC471C" w:rsidRPr="00AE3233" w:rsidRDefault="00AC471C" w:rsidP="00AC471C">
            <w:pPr>
              <w:numPr>
                <w:ilvl w:val="0"/>
                <w:numId w:val="4"/>
              </w:numPr>
              <w:tabs>
                <w:tab w:val="clear" w:pos="1800"/>
                <w:tab w:val="num" w:pos="360"/>
              </w:tabs>
              <w:autoSpaceDE w:val="0"/>
              <w:autoSpaceDN w:val="0"/>
              <w:adjustRightInd w:val="0"/>
              <w:spacing w:after="0" w:line="240" w:lineRule="auto"/>
              <w:ind w:left="360" w:hanging="180"/>
              <w:rPr>
                <w:rFonts w:ascii="Times New Roman" w:hAnsi="Times New Roman" w:cs="Times New Roman"/>
                <w:sz w:val="24"/>
                <w:szCs w:val="24"/>
              </w:rPr>
            </w:pPr>
            <w:r w:rsidRPr="00745F3F">
              <w:rPr>
                <w:rFonts w:ascii="Times New Roman" w:hAnsi="Times New Roman" w:cs="Times New Roman"/>
                <w:sz w:val="24"/>
                <w:szCs w:val="24"/>
              </w:rPr>
              <w:t>podpora výstavby kompostáren a biofermentačních stanic.</w:t>
            </w:r>
          </w:p>
          <w:p w:rsidR="00AC471C" w:rsidRPr="00745F3F" w:rsidRDefault="00AC471C" w:rsidP="00944582">
            <w:p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OBLAST PODPORY 4.2 Odstraňování starých ekologických zátěží</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inventarizace a kategorizace priorit starých ekologických zátěží na kontaminovaných místech,</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zpracování Analýz rizik a Aktualizovaných analýz rizik u lokalit vybraných z materiálu „Regionální seznamy priorit pro odstraňování starých ekologických zátěží – aktualizace 2002, MŽP, říjen 2002“ a jeho aktualizací z let 2004-2007,</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sanace vážně kontaminovaných lokalit (průmyslové objekty, vojenské a zemědělské areály, brownfields s výskytem staré ekologické zátěže) ohrožujících složky životního prostředí a zdraví člověka v případech, kdy žadatel o podporu není původcem kontaminace nebo původce již neexistuje (stará ekologická zátěž), nebo v případě, že tato povinnost je vázána na organizační složku státu nebo právnickou osobu státem pro tyto účely zřízenou,</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 xml:space="preserve">sanace SEZ, kde je prokázána vážná kontaminace ohrožující složky životního prostředí a zdraví člověka, na územích postižených těžbou vyhrazených nerostů včetně sanace a </w:t>
            </w:r>
            <w:r w:rsidRPr="00745F3F">
              <w:rPr>
                <w:rFonts w:ascii="Times New Roman" w:hAnsi="Times New Roman" w:cs="Times New Roman"/>
                <w:sz w:val="24"/>
                <w:szCs w:val="24"/>
              </w:rPr>
              <w:lastRenderedPageBreak/>
              <w:t>rekultivace areálů bývalých dolů a lomů, odvalů, výsypek a odkališť a souvisejících trvalých provozních nákladů, v případech, kdy žadatel o podporu není původcem kontaminace nebo původce již neexistuje; nebo v případě, že tato povinnost je vázána na organizační složku státu nebo právnickou osobu státem pro tyto účely zřízenou.</w:t>
            </w:r>
          </w:p>
        </w:tc>
      </w:tr>
    </w:tbl>
    <w:p w:rsidR="00AC471C" w:rsidRPr="00745F3F" w:rsidRDefault="00AC471C" w:rsidP="00AC471C">
      <w:pPr>
        <w:pStyle w:val="I-C2podkapitola"/>
      </w:pPr>
      <w:bookmarkStart w:id="4" w:name="_Toc271398054"/>
      <w:r w:rsidRPr="00745F3F">
        <w:lastRenderedPageBreak/>
        <w:t>5.</w:t>
      </w:r>
      <w:r>
        <w:t>1.</w:t>
      </w:r>
      <w:r w:rsidRPr="00745F3F">
        <w:t>4</w:t>
      </w:r>
      <w:r w:rsidRPr="00745F3F">
        <w:tab/>
        <w:t>Operační program Lidské zdroje a zaměstnanost</w:t>
      </w:r>
      <w:bookmarkEnd w:id="4"/>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Operační program Lidské zdroje a zaměstnanost je zaměřený na snižování nezaměstnanosti prostřednictvím aktivní politiky na trhu práce, profesního vzdělávání, dále na začleňování sociálně vyloučených obyvatel zpět do společnosti, zvyšování kvality veřejné správy </w:t>
      </w:r>
      <w:r w:rsidRPr="00745F3F">
        <w:rPr>
          <w:rFonts w:ascii="Times New Roman" w:hAnsi="Times New Roman" w:cs="Times New Roman"/>
          <w:sz w:val="24"/>
          <w:szCs w:val="24"/>
        </w:rPr>
        <w:br/>
        <w:t>a mezinárodní spolupráci v uvedených oblastech.</w:t>
      </w:r>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Podpora je určena regionům ČR mimo hlavní město Prahu s výjimkou prioritních os 2a, 2b (Aktivní politiky zaměstnanosti) a 4a, 4b (Veřejná správa a veřejné služby, z nichž mohou mít prospěch regiony celé ČR. Nicméně oblast aktivních politik zaměstnanosti není otevřena pro jiné subjekty než jsou úřady práce a Správu služeb zaměstnanosti, proto není dále zmiňována.</w:t>
      </w:r>
    </w:p>
    <w:p w:rsidR="00AC471C" w:rsidRPr="00745F3F" w:rsidRDefault="00AC471C" w:rsidP="00AC471C">
      <w:pPr>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before="120" w:after="120"/>
              <w:jc w:val="center"/>
              <w:rPr>
                <w:rFonts w:ascii="Times New Roman" w:hAnsi="Times New Roman" w:cs="Times New Roman"/>
                <w:b/>
                <w:sz w:val="24"/>
                <w:szCs w:val="24"/>
              </w:rPr>
            </w:pPr>
            <w:r w:rsidRPr="00745F3F">
              <w:rPr>
                <w:rFonts w:ascii="Times New Roman" w:hAnsi="Times New Roman" w:cs="Times New Roman"/>
                <w:b/>
                <w:sz w:val="24"/>
                <w:szCs w:val="24"/>
              </w:rPr>
              <w:t>Prioritní osy 4a a 4b Veřejná správa a veřejné služby</w:t>
            </w:r>
          </w:p>
        </w:tc>
      </w:tr>
      <w:tr w:rsidR="00AC471C" w:rsidRPr="00745F3F" w:rsidTr="00944582">
        <w:tc>
          <w:tcPr>
            <w:tcW w:w="9212" w:type="dxa"/>
          </w:tcPr>
          <w:p w:rsidR="00AC471C" w:rsidRPr="00745F3F" w:rsidRDefault="00AC471C" w:rsidP="00944582">
            <w:p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OBLAST PODPORY 4.1 Posilování institucionální kapacity a efektivnosti veřejné správy</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zefektivnění řízení lidských zdrojů ve veřejné správě, včetně vzdělávání a odborné přípravy zaměstnanců úřadů veřejné správy, politiků včetně zastupitelů územních samosprávných celků, metodiků a školitelů pro veřejnou správu,</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rozvoj vzdělávacích programů včetně distančních forem vzdělávání (vč. e-learningu),</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aplikace moderních metod zvyšování výkonnosti, kvality a transparentnosti veřejné správy a veřejných služeb včetně zavádění sledování výkonnosti a kvality úřadů veřejné správy a analytické činnosti k identifikaci prostorů pro zlepšení a k návrhům řešení,</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 xml:space="preserve">provádění analýz veřejné správy k navrhování realizace postupů a činností vedoucích </w:t>
            </w:r>
            <w:r w:rsidRPr="00745F3F">
              <w:rPr>
                <w:rFonts w:ascii="Times New Roman" w:hAnsi="Times New Roman" w:cs="Times New Roman"/>
                <w:sz w:val="24"/>
                <w:szCs w:val="24"/>
              </w:rPr>
              <w:br/>
              <w:t>ke zvyšování efektivity, kvality a transparentnosti veřejné správy a racionalizace rozdělení kompetencí v rámci orgánů veřejné správy s důrazem na efektivnost,</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realizace procesních auditů směřujících k identifikaci rozvojových příležitostí a slabých míst v rámci resortu justice,</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podpora komunikace a koordinace subjektů v rámci resortu justice,</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podpora výzkumných aktivit v oblasti veřejné správy včetně podpory aplikace nástrojů zvyšování kvality a efektivity veřejné správy,</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vybudování kapacit a nástrojů pro tvorbu, monitorování a evaluaci politik24,</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podpora koordinace mezi jednotlivými resorty, směrem k územním samosprávným celkům a dialogu mezi příslušnými veřejnými a soukromými subjekty,</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 xml:space="preserve">zkvalitnění systému metodické pomoci v rámci celé veřejné správy, zejména však </w:t>
            </w:r>
            <w:r w:rsidRPr="00745F3F">
              <w:rPr>
                <w:rFonts w:ascii="Times New Roman" w:hAnsi="Times New Roman" w:cs="Times New Roman"/>
                <w:sz w:val="24"/>
                <w:szCs w:val="24"/>
              </w:rPr>
              <w:br/>
              <w:t>ve vazbě na územní veřejnou správu a její specifické potřeby,</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vytvoření a aplikace nástrojů na podporu účasti občanů na rozhodování a veřejném životě,</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rozvoj hodnocení dopadu regulace a zavádění dalších nástrojů zvyšování kvality regulace (alternativní formy řešení, zjednodušování právních předpisů, konzultace),</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posilování etických standardů ve veřejné správě,</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spolupráce s partnery z ČR a z členských zemí EU v oblasti veřejné správy,</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rozšiřování moderních ICT a aplikací eGovernmentu ve veřejné správě,</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 xml:space="preserve">důsledné využívání systému zpětné vazby s uživateli veřejných služeb a služeb veřejné </w:t>
            </w:r>
            <w:r w:rsidRPr="00745F3F">
              <w:rPr>
                <w:rFonts w:ascii="Times New Roman" w:hAnsi="Times New Roman" w:cs="Times New Roman"/>
                <w:sz w:val="24"/>
                <w:szCs w:val="24"/>
              </w:rPr>
              <w:lastRenderedPageBreak/>
              <w:t>správy, např. analýzy, průzkumy, trendy, jejich dostupnost,kvalita apod.,</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 xml:space="preserve">vytvoření a zprovoznění informačního systému o veřejných službách, službách veřejné správy a dalších aspektech veřejné správy, který bude provozován jako nadstavba </w:t>
            </w:r>
            <w:r w:rsidRPr="00745F3F">
              <w:rPr>
                <w:rFonts w:ascii="Times New Roman" w:hAnsi="Times New Roman" w:cs="Times New Roman"/>
                <w:sz w:val="24"/>
                <w:szCs w:val="24"/>
              </w:rPr>
              <w:br/>
              <w:t>na stávajících informačních systémech veřejné správy,</w:t>
            </w:r>
          </w:p>
          <w:p w:rsidR="00AC471C" w:rsidRPr="00745F3F" w:rsidRDefault="00AC471C" w:rsidP="00AC471C">
            <w:pPr>
              <w:numPr>
                <w:ilvl w:val="0"/>
                <w:numId w:val="4"/>
              </w:numPr>
              <w:tabs>
                <w:tab w:val="clear" w:pos="1800"/>
                <w:tab w:val="num" w:pos="360"/>
              </w:tabs>
              <w:autoSpaceDE w:val="0"/>
              <w:autoSpaceDN w:val="0"/>
              <w:adjustRightInd w:val="0"/>
              <w:spacing w:after="0" w:line="240" w:lineRule="auto"/>
              <w:ind w:left="360" w:hanging="180"/>
              <w:jc w:val="both"/>
              <w:rPr>
                <w:rFonts w:ascii="Times New Roman" w:hAnsi="Times New Roman" w:cs="Times New Roman"/>
                <w:sz w:val="24"/>
                <w:szCs w:val="24"/>
              </w:rPr>
            </w:pPr>
            <w:r w:rsidRPr="00745F3F">
              <w:rPr>
                <w:rFonts w:ascii="Times New Roman" w:hAnsi="Times New Roman" w:cs="Times New Roman"/>
                <w:sz w:val="24"/>
                <w:szCs w:val="24"/>
              </w:rPr>
              <w:t>proškolení zaměstnanců veřejné správy související se zprovozněním informačního systému o veřejných službách, službách veřejné správy a dalších aspektech veřejné správy, který bude provozován jako nadstavba stávajících informačních systémů veřejné správy.</w:t>
            </w:r>
          </w:p>
        </w:tc>
      </w:tr>
    </w:tbl>
    <w:p w:rsidR="00AC471C" w:rsidRPr="00745F3F" w:rsidRDefault="00AC471C" w:rsidP="00AC471C">
      <w:pPr>
        <w:pStyle w:val="I-C2podkapitola"/>
      </w:pPr>
      <w:bookmarkStart w:id="5" w:name="_Toc271398055"/>
      <w:r w:rsidRPr="00745F3F">
        <w:lastRenderedPageBreak/>
        <w:t>5.</w:t>
      </w:r>
      <w:r>
        <w:t>1.</w:t>
      </w:r>
      <w:r w:rsidRPr="00745F3F">
        <w:t>5</w:t>
      </w:r>
      <w:r w:rsidRPr="00745F3F">
        <w:tab/>
        <w:t>Operační program Nadnárodní spolupráce</w:t>
      </w:r>
      <w:bookmarkEnd w:id="5"/>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Operační program Nadnárodní spolupráce je rozdělen do několika zón. Česká republika patří do zóny Střední Evropa a OP Nadnárodní spolupráce sdílíme s Rakouskem, Polskem, částí Německa, Maďarskem, Slovinskem, Slovenskem, částí Itálie a z nečlenských zemí s částí Ukrajiny.</w:t>
      </w:r>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Zaměřuje se na spolupráci mezi veřejnými orgány a institucemi s charakterem veřejných orgánů s cílem výměny a přenosu zkušeností především v oblastech inovací, dopravní dostupnosti, životního prostředí a zvyšování atraktivity měst a regionů. </w:t>
      </w:r>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Účelem spolupráce je zajištění dostupnosti znalostí a nástrojů pro vytváření partnerství, aby se předešlo zbytečnému opakování činností a objevování již objeveného. Podporováno bude vytváření partnerství a sítí podporujících dosahování konkrétních výstupů a výsledků, které přímo vedou ke konkrétním budoucím iniciativám a investicím.</w:t>
      </w:r>
    </w:p>
    <w:p w:rsidR="00AC471C" w:rsidRPr="00745F3F" w:rsidRDefault="00AC471C" w:rsidP="00AC471C">
      <w:pPr>
        <w:spacing w:after="0" w:line="240" w:lineRule="auto"/>
        <w:rPr>
          <w:rFonts w:ascii="Times New Roman" w:hAnsi="Times New Roman" w:cs="Times New Roman"/>
          <w:sz w:val="24"/>
          <w:szCs w:val="24"/>
        </w:rPr>
      </w:pPr>
      <w:r w:rsidRPr="00745F3F">
        <w:rPr>
          <w:rFonts w:ascii="Times New Roman" w:hAnsi="Times New Roman" w:cs="Times New Roman"/>
          <w:sz w:val="24"/>
          <w:szCs w:val="24"/>
        </w:rPr>
        <w:t>Projektu se musí zúčastnit minimálně 3 partneři, nejméně z 3 zemí, z t</w:t>
      </w:r>
      <w:r>
        <w:rPr>
          <w:rFonts w:ascii="Times New Roman" w:hAnsi="Times New Roman" w:cs="Times New Roman"/>
          <w:sz w:val="24"/>
          <w:szCs w:val="24"/>
        </w:rPr>
        <w:t>oho 2 musí být členské země EU.</w:t>
      </w:r>
      <w:r>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before="120" w:after="120"/>
              <w:jc w:val="center"/>
              <w:rPr>
                <w:rFonts w:ascii="Times New Roman" w:hAnsi="Times New Roman" w:cs="Times New Roman"/>
                <w:b/>
                <w:sz w:val="24"/>
                <w:szCs w:val="24"/>
              </w:rPr>
            </w:pPr>
            <w:r w:rsidRPr="00745F3F">
              <w:rPr>
                <w:rFonts w:ascii="Times New Roman" w:hAnsi="Times New Roman" w:cs="Times New Roman"/>
                <w:b/>
                <w:sz w:val="24"/>
                <w:szCs w:val="24"/>
              </w:rPr>
              <w:t>Priorita 1 - Usnadňování/umožňování inovace ve Střední Evropě</w:t>
            </w:r>
          </w:p>
        </w:tc>
      </w:tr>
      <w:tr w:rsidR="00AC471C" w:rsidRPr="00745F3F" w:rsidTr="00944582">
        <w:tc>
          <w:tcPr>
            <w:tcW w:w="9212" w:type="dxa"/>
          </w:tcPr>
          <w:p w:rsidR="00AC471C" w:rsidRPr="00745F3F" w:rsidRDefault="00AC471C" w:rsidP="00944582">
            <w:p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Podpora nadnárodních klastrů v klíčových kompetenčních oblastech, společný vývoj a implementace inovačních strategií v nadnárodních oblastech, spolupráce inkubátorů v regionech, kde upadá průmysl, budování nadnárodních sítí mezi institucemi terciárního vzdělávání a výzkumnými institucemi, podpora nadnárodní spolupráce mezi školicími zařízeními a organizacemi působícími na trhu pracovních sil, budování a zdokonalování nadnárodních vzdělávacích a školicích sítí ve vy</w:t>
            </w:r>
            <w:r>
              <w:rPr>
                <w:rFonts w:ascii="Times New Roman" w:hAnsi="Times New Roman" w:cs="Times New Roman"/>
                <w:sz w:val="24"/>
                <w:szCs w:val="24"/>
              </w:rPr>
              <w:t>šším či celoživotním vzdělávání.</w:t>
            </w:r>
          </w:p>
          <w:p w:rsidR="00AC471C" w:rsidRPr="00745F3F" w:rsidRDefault="00AC471C" w:rsidP="00AC471C">
            <w:pPr>
              <w:numPr>
                <w:ilvl w:val="1"/>
                <w:numId w:val="3"/>
              </w:num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Zlepšování rámcových podmínek pro inovaci</w:t>
            </w:r>
          </w:p>
          <w:p w:rsidR="00AC471C" w:rsidRPr="00745F3F" w:rsidRDefault="00AC471C" w:rsidP="00AC471C">
            <w:pPr>
              <w:numPr>
                <w:ilvl w:val="1"/>
                <w:numId w:val="3"/>
              </w:num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Budovaní kapacit pro šíření a aplikaci inovace</w:t>
            </w:r>
          </w:p>
          <w:p w:rsidR="00AC471C" w:rsidRPr="00745F3F" w:rsidRDefault="00AC471C" w:rsidP="00AC471C">
            <w:pPr>
              <w:numPr>
                <w:ilvl w:val="1"/>
                <w:numId w:val="3"/>
              </w:num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b/>
                <w:sz w:val="24"/>
                <w:szCs w:val="24"/>
              </w:rPr>
              <w:t>Podpora rozvoje znalostí</w:t>
            </w:r>
          </w:p>
        </w:tc>
      </w:tr>
    </w:tbl>
    <w:p w:rsidR="00AC471C" w:rsidRPr="00745F3F" w:rsidRDefault="00AC471C" w:rsidP="00AC471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before="120" w:after="120"/>
              <w:jc w:val="center"/>
              <w:rPr>
                <w:rFonts w:ascii="Times New Roman" w:hAnsi="Times New Roman" w:cs="Times New Roman"/>
                <w:b/>
                <w:sz w:val="24"/>
                <w:szCs w:val="24"/>
              </w:rPr>
            </w:pPr>
            <w:r w:rsidRPr="00745F3F">
              <w:rPr>
                <w:rFonts w:ascii="Times New Roman" w:hAnsi="Times New Roman" w:cs="Times New Roman"/>
                <w:b/>
                <w:sz w:val="24"/>
                <w:szCs w:val="24"/>
              </w:rPr>
              <w:t>Priorita 2 - Zlepšování dostupnosti Střední Evropy a v rámci ní</w:t>
            </w:r>
          </w:p>
        </w:tc>
      </w:tr>
      <w:tr w:rsidR="00AC471C" w:rsidRPr="00745F3F" w:rsidTr="00944582">
        <w:tc>
          <w:tcPr>
            <w:tcW w:w="9212" w:type="dxa"/>
          </w:tcPr>
          <w:p w:rsidR="00AC471C" w:rsidRPr="00745F3F" w:rsidRDefault="00AC471C" w:rsidP="00944582">
            <w:p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Vybudování nadnárodního znalostního centra v železniční dopravě a vypracování nadnárodního akčního plánu technické harmonizace a interoperability železniční sítě během následujících 15 let, podpora využití různých způsobů dopravy a schopnosti užívat části nebo zařízení jiného dopravního systému (silniční, železniční, říční/námořní, letecká doprava), společný vývoj nadnárodních ICT logistických nástrojů, zvyšování kvality a atraktivity městské hromadné dopravy, podpora vývoje moderních technologických řešení pro řízení dopravy, využívání ICT pro omezování nutnosti mezinárodního cestování (videokonference, řízení dodavatelského řetězce) apod.</w:t>
            </w:r>
          </w:p>
          <w:p w:rsidR="00AC471C" w:rsidRPr="00745F3F" w:rsidRDefault="00AC471C" w:rsidP="00944582">
            <w:p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2.1 Zlepšování vzájemné propojenosti Střední Evropy</w:t>
            </w:r>
          </w:p>
          <w:p w:rsidR="00AC471C" w:rsidRPr="00745F3F" w:rsidRDefault="00AC471C" w:rsidP="00944582">
            <w:p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lastRenderedPageBreak/>
              <w:t>2.2 Rozvíjení multimodální logistické spolupráce</w:t>
            </w:r>
          </w:p>
          <w:p w:rsidR="00AC471C" w:rsidRPr="00745F3F" w:rsidRDefault="00AC471C" w:rsidP="00944582">
            <w:pPr>
              <w:autoSpaceDE w:val="0"/>
              <w:autoSpaceDN w:val="0"/>
              <w:adjustRightInd w:val="0"/>
              <w:spacing w:after="0" w:line="240" w:lineRule="auto"/>
              <w:jc w:val="both"/>
              <w:rPr>
                <w:rFonts w:ascii="Times New Roman" w:hAnsi="Times New Roman" w:cs="Times New Roman"/>
                <w:b/>
                <w:sz w:val="24"/>
                <w:szCs w:val="24"/>
              </w:rPr>
            </w:pPr>
            <w:r w:rsidRPr="00745F3F">
              <w:rPr>
                <w:rFonts w:ascii="Times New Roman" w:hAnsi="Times New Roman" w:cs="Times New Roman"/>
                <w:b/>
                <w:sz w:val="24"/>
                <w:szCs w:val="24"/>
              </w:rPr>
              <w:t>2.3 Podpora trvale udržitelné a bezpečné mobility</w:t>
            </w:r>
          </w:p>
          <w:p w:rsidR="00AC471C" w:rsidRPr="00745F3F" w:rsidRDefault="00AC471C" w:rsidP="00944582">
            <w:pPr>
              <w:autoSpaceDE w:val="0"/>
              <w:autoSpaceDN w:val="0"/>
              <w:adjustRightInd w:val="0"/>
              <w:spacing w:after="0" w:line="240" w:lineRule="auto"/>
              <w:ind w:left="360" w:hanging="360"/>
              <w:jc w:val="both"/>
              <w:rPr>
                <w:rFonts w:ascii="Times New Roman" w:hAnsi="Times New Roman" w:cs="Times New Roman"/>
                <w:sz w:val="24"/>
                <w:szCs w:val="24"/>
              </w:rPr>
            </w:pPr>
            <w:r w:rsidRPr="00745F3F">
              <w:rPr>
                <w:rFonts w:ascii="Times New Roman" w:hAnsi="Times New Roman" w:cs="Times New Roman"/>
                <w:b/>
                <w:sz w:val="24"/>
                <w:szCs w:val="24"/>
              </w:rPr>
              <w:t>2.4 Informační a komunikační technologie (ICT) a alternativní řešení pro zlepšování přístupu</w:t>
            </w:r>
          </w:p>
        </w:tc>
      </w:tr>
    </w:tbl>
    <w:p w:rsidR="00AC471C" w:rsidRPr="00745F3F" w:rsidRDefault="00AC471C" w:rsidP="00AC471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before="120" w:after="120"/>
              <w:jc w:val="center"/>
              <w:rPr>
                <w:rFonts w:ascii="Times New Roman" w:hAnsi="Times New Roman" w:cs="Times New Roman"/>
                <w:b/>
                <w:sz w:val="24"/>
                <w:szCs w:val="24"/>
              </w:rPr>
            </w:pPr>
            <w:r w:rsidRPr="00745F3F">
              <w:rPr>
                <w:rFonts w:ascii="Times New Roman" w:hAnsi="Times New Roman" w:cs="Times New Roman"/>
                <w:b/>
                <w:sz w:val="24"/>
                <w:szCs w:val="24"/>
              </w:rPr>
              <w:t>Priorita 3 - Odpovědné užívání životního prostředí</w:t>
            </w:r>
          </w:p>
        </w:tc>
      </w:tr>
      <w:tr w:rsidR="00AC471C" w:rsidRPr="00745F3F" w:rsidTr="00944582">
        <w:tc>
          <w:tcPr>
            <w:tcW w:w="9212" w:type="dxa"/>
          </w:tcPr>
          <w:p w:rsidR="00AC471C" w:rsidRPr="00745F3F" w:rsidRDefault="00AC471C" w:rsidP="00944582">
            <w:p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Odpovědné využívání a ochrana ekologického potenciálu Střední Evropy na základě podpory inovačních a trvale udržitelných řešení v oblasti řízení přírodních zdrojů, snižování rizik a zkvalitňování přirozeného životního prostředí</w:t>
            </w:r>
          </w:p>
          <w:p w:rsidR="00AC471C" w:rsidRPr="00745F3F" w:rsidRDefault="00AC471C" w:rsidP="00944582">
            <w:pPr>
              <w:autoSpaceDE w:val="0"/>
              <w:autoSpaceDN w:val="0"/>
              <w:adjustRightInd w:val="0"/>
              <w:spacing w:after="0" w:line="240" w:lineRule="auto"/>
              <w:ind w:left="360" w:hanging="360"/>
              <w:jc w:val="both"/>
              <w:rPr>
                <w:rFonts w:ascii="Times New Roman" w:hAnsi="Times New Roman" w:cs="Times New Roman"/>
                <w:b/>
                <w:sz w:val="24"/>
                <w:szCs w:val="24"/>
              </w:rPr>
            </w:pPr>
            <w:r w:rsidRPr="00745F3F">
              <w:rPr>
                <w:rFonts w:ascii="Times New Roman" w:hAnsi="Times New Roman" w:cs="Times New Roman"/>
                <w:b/>
                <w:sz w:val="24"/>
                <w:szCs w:val="24"/>
              </w:rPr>
              <w:t xml:space="preserve">3.1 Budování vysoce kvalitního životního prostředí na základě řízení přírodních zdrojů a přírodního dědictví </w:t>
            </w:r>
          </w:p>
          <w:p w:rsidR="00AC471C" w:rsidRPr="00745F3F" w:rsidRDefault="00AC471C" w:rsidP="00944582">
            <w:pPr>
              <w:autoSpaceDE w:val="0"/>
              <w:autoSpaceDN w:val="0"/>
              <w:adjustRightInd w:val="0"/>
              <w:spacing w:after="0" w:line="240" w:lineRule="auto"/>
              <w:ind w:left="360" w:hanging="360"/>
              <w:jc w:val="both"/>
              <w:rPr>
                <w:rFonts w:ascii="Times New Roman" w:hAnsi="Times New Roman" w:cs="Times New Roman"/>
                <w:b/>
                <w:sz w:val="24"/>
                <w:szCs w:val="24"/>
              </w:rPr>
            </w:pPr>
            <w:r w:rsidRPr="00745F3F">
              <w:rPr>
                <w:rFonts w:ascii="Times New Roman" w:hAnsi="Times New Roman" w:cs="Times New Roman"/>
                <w:b/>
                <w:sz w:val="24"/>
                <w:szCs w:val="24"/>
              </w:rPr>
              <w:t>3.2 Snižování rizik a dopadů přírodních a člověkem způsobených katastrof</w:t>
            </w:r>
          </w:p>
          <w:p w:rsidR="00AC471C" w:rsidRPr="00745F3F" w:rsidRDefault="00AC471C" w:rsidP="00944582">
            <w:pPr>
              <w:autoSpaceDE w:val="0"/>
              <w:autoSpaceDN w:val="0"/>
              <w:adjustRightInd w:val="0"/>
              <w:spacing w:after="0" w:line="240" w:lineRule="auto"/>
              <w:ind w:left="360" w:hanging="360"/>
              <w:jc w:val="both"/>
              <w:rPr>
                <w:rFonts w:ascii="Times New Roman" w:hAnsi="Times New Roman" w:cs="Times New Roman"/>
                <w:b/>
                <w:sz w:val="24"/>
                <w:szCs w:val="24"/>
              </w:rPr>
            </w:pPr>
            <w:r w:rsidRPr="00745F3F">
              <w:rPr>
                <w:rFonts w:ascii="Times New Roman" w:hAnsi="Times New Roman" w:cs="Times New Roman"/>
                <w:b/>
                <w:sz w:val="24"/>
                <w:szCs w:val="24"/>
              </w:rPr>
              <w:t>3.3 Podpora využívání energie z obnovitelných zdrojů a zvyšování energetické účinnosti</w:t>
            </w:r>
          </w:p>
          <w:p w:rsidR="00AC471C" w:rsidRPr="00745F3F" w:rsidRDefault="00AC471C" w:rsidP="00944582">
            <w:pPr>
              <w:autoSpaceDE w:val="0"/>
              <w:autoSpaceDN w:val="0"/>
              <w:adjustRightInd w:val="0"/>
              <w:spacing w:after="0" w:line="240" w:lineRule="auto"/>
              <w:ind w:left="360" w:hanging="360"/>
              <w:jc w:val="both"/>
              <w:rPr>
                <w:rFonts w:ascii="Times New Roman" w:hAnsi="Times New Roman" w:cs="Times New Roman"/>
                <w:sz w:val="24"/>
                <w:szCs w:val="24"/>
              </w:rPr>
            </w:pPr>
            <w:r w:rsidRPr="00745F3F">
              <w:rPr>
                <w:rFonts w:ascii="Times New Roman" w:hAnsi="Times New Roman" w:cs="Times New Roman"/>
                <w:b/>
                <w:sz w:val="24"/>
                <w:szCs w:val="24"/>
              </w:rPr>
              <w:t>3.4 Podpora technologií a činností, které jsou šetrné k životnímu prostředí</w:t>
            </w:r>
          </w:p>
        </w:tc>
      </w:tr>
    </w:tbl>
    <w:p w:rsidR="00AC471C" w:rsidRPr="00745F3F" w:rsidRDefault="00AC471C" w:rsidP="00AC471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before="120" w:after="120"/>
              <w:jc w:val="center"/>
              <w:rPr>
                <w:rFonts w:ascii="Times New Roman" w:hAnsi="Times New Roman" w:cs="Times New Roman"/>
                <w:b/>
                <w:sz w:val="24"/>
                <w:szCs w:val="24"/>
              </w:rPr>
            </w:pPr>
            <w:r w:rsidRPr="00745F3F">
              <w:rPr>
                <w:rFonts w:ascii="Times New Roman" w:hAnsi="Times New Roman" w:cs="Times New Roman"/>
                <w:b/>
                <w:sz w:val="24"/>
                <w:szCs w:val="24"/>
              </w:rPr>
              <w:t>Priorita 4 - Odpovědné užívání životního prostředí</w:t>
            </w:r>
          </w:p>
        </w:tc>
      </w:tr>
      <w:tr w:rsidR="00AC471C" w:rsidRPr="00745F3F" w:rsidTr="00944582">
        <w:tc>
          <w:tcPr>
            <w:tcW w:w="9212" w:type="dxa"/>
          </w:tcPr>
          <w:p w:rsidR="00AC471C" w:rsidRPr="00745F3F" w:rsidRDefault="00AC471C" w:rsidP="00944582">
            <w:p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Posilování polycentrického sídelního uspořádání, zvyšování kvality života a prosazování trvale udržitelného rozvoje měst a regionů.</w:t>
            </w:r>
          </w:p>
          <w:p w:rsidR="00AC471C" w:rsidRPr="00745F3F" w:rsidRDefault="00AC471C" w:rsidP="00944582">
            <w:pPr>
              <w:autoSpaceDE w:val="0"/>
              <w:autoSpaceDN w:val="0"/>
              <w:adjustRightInd w:val="0"/>
              <w:spacing w:after="0" w:line="240" w:lineRule="auto"/>
              <w:ind w:left="360" w:hanging="360"/>
              <w:jc w:val="both"/>
              <w:rPr>
                <w:rFonts w:ascii="Times New Roman" w:hAnsi="Times New Roman" w:cs="Times New Roman"/>
                <w:b/>
                <w:sz w:val="24"/>
                <w:szCs w:val="24"/>
              </w:rPr>
            </w:pPr>
            <w:r w:rsidRPr="00745F3F">
              <w:rPr>
                <w:rFonts w:ascii="Times New Roman" w:hAnsi="Times New Roman" w:cs="Times New Roman"/>
                <w:b/>
                <w:sz w:val="24"/>
                <w:szCs w:val="24"/>
              </w:rPr>
              <w:t>4.1 Budování polycentrických sídelních struktur a územní spolupráce</w:t>
            </w:r>
          </w:p>
          <w:p w:rsidR="00AC471C" w:rsidRPr="00745F3F" w:rsidRDefault="00AC471C" w:rsidP="00944582">
            <w:pPr>
              <w:autoSpaceDE w:val="0"/>
              <w:autoSpaceDN w:val="0"/>
              <w:adjustRightInd w:val="0"/>
              <w:spacing w:after="0" w:line="240" w:lineRule="auto"/>
              <w:ind w:left="360" w:hanging="360"/>
              <w:jc w:val="both"/>
              <w:rPr>
                <w:rFonts w:ascii="Times New Roman" w:hAnsi="Times New Roman" w:cs="Times New Roman"/>
                <w:b/>
                <w:sz w:val="24"/>
                <w:szCs w:val="24"/>
              </w:rPr>
            </w:pPr>
            <w:r w:rsidRPr="00745F3F">
              <w:rPr>
                <w:rFonts w:ascii="Times New Roman" w:hAnsi="Times New Roman" w:cs="Times New Roman"/>
                <w:b/>
                <w:sz w:val="24"/>
                <w:szCs w:val="24"/>
              </w:rPr>
              <w:t>4.2 Řešení územních dopadů demografických a sociálních změn na rozvoj měst a regionů</w:t>
            </w:r>
          </w:p>
          <w:p w:rsidR="00AC471C" w:rsidRPr="00745F3F" w:rsidRDefault="00AC471C" w:rsidP="00944582">
            <w:pPr>
              <w:autoSpaceDE w:val="0"/>
              <w:autoSpaceDN w:val="0"/>
              <w:adjustRightInd w:val="0"/>
              <w:spacing w:after="0" w:line="240" w:lineRule="auto"/>
              <w:ind w:left="360" w:hanging="360"/>
              <w:jc w:val="both"/>
              <w:rPr>
                <w:rFonts w:ascii="Times New Roman" w:hAnsi="Times New Roman" w:cs="Times New Roman"/>
                <w:sz w:val="24"/>
                <w:szCs w:val="24"/>
              </w:rPr>
            </w:pPr>
            <w:r w:rsidRPr="00745F3F">
              <w:rPr>
                <w:rFonts w:ascii="Times New Roman" w:hAnsi="Times New Roman" w:cs="Times New Roman"/>
                <w:b/>
                <w:sz w:val="24"/>
                <w:szCs w:val="24"/>
              </w:rPr>
              <w:t>4.3 Využívání kulturních zdrojů ke zvyšování atraktivity měst a regionů</w:t>
            </w:r>
          </w:p>
        </w:tc>
      </w:tr>
    </w:tbl>
    <w:p w:rsidR="00AC471C" w:rsidRPr="00745F3F" w:rsidRDefault="00AC471C" w:rsidP="00AC471C">
      <w:pPr>
        <w:pStyle w:val="I-C2podkapitola"/>
      </w:pPr>
      <w:bookmarkStart w:id="6" w:name="_Toc271398056"/>
      <w:r w:rsidRPr="00745F3F">
        <w:t>5.</w:t>
      </w:r>
      <w:r>
        <w:t>1.</w:t>
      </w:r>
      <w:r w:rsidRPr="00745F3F">
        <w:t>6</w:t>
      </w:r>
      <w:r w:rsidRPr="00745F3F">
        <w:tab/>
        <w:t>Operační program Meziregionální spolupráce</w:t>
      </w:r>
      <w:bookmarkEnd w:id="6"/>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Operační program Meziregionální spolupráce je společný pro všechny členské státy EU, Norsko a Švýcarsko</w:t>
      </w:r>
      <w:r>
        <w:rPr>
          <w:rFonts w:ascii="Times New Roman" w:hAnsi="Times New Roman" w:cs="Times New Roman"/>
          <w:sz w:val="24"/>
          <w:szCs w:val="24"/>
        </w:rPr>
        <w:t>.</w:t>
      </w:r>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Zaměřuje se na spolupráci mezi veřejnými orgány a institucemi s charakterem veřejných orgánů na regionální a místní úrovni s cílem výměny a přenosu zkušeností a zajištění společného rozvoje přístupů a nástrojů, které zlepší účinnost politiky regionálního rozvoje. Hlavními oblastmi spolupráce jsou inovace a znalostní ekonomika, životní prostředí a ochrana před riziky.</w:t>
      </w:r>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Realizovány jsou dva typy projektů: výměna zkušeností (tzv. Regionální iniciativy - TYP 1) aktérů na regionální a místní úrovni ve vymezených oblastech za účelem označení nejlepších postupů a vývoje nových nástrojů a přístupů, které jsou pak přejímány do praxe. Druhým typem projektů je přenos zkušeností (tzv. Fast track- TYP 2) prostřednictvím spolupráce </w:t>
      </w:r>
      <w:r w:rsidRPr="00745F3F">
        <w:rPr>
          <w:rFonts w:ascii="Times New Roman" w:hAnsi="Times New Roman" w:cs="Times New Roman"/>
          <w:sz w:val="24"/>
          <w:szCs w:val="24"/>
        </w:rPr>
        <w:br/>
        <w:t>v sítích, kde budou zkušenější regiony v příslušné oblasti předávat své zkušenosti méně zkušeným regionům.</w:t>
      </w:r>
    </w:p>
    <w:p w:rsidR="00AC471C" w:rsidRPr="00745F3F" w:rsidRDefault="00AC471C" w:rsidP="00AC471C">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Projekty musí zapojit partnery, kteří zastupují nejméně tři členské země EU, z nichž minimálně dvě musí být členskými zeměmi EU a které jsou financovány programem INTERREG IVC. </w:t>
      </w:r>
    </w:p>
    <w:p w:rsidR="00AC471C" w:rsidRPr="00745F3F" w:rsidRDefault="00AC471C" w:rsidP="00AC471C">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after="0" w:line="240" w:lineRule="auto"/>
              <w:jc w:val="center"/>
              <w:rPr>
                <w:rFonts w:ascii="Times New Roman" w:hAnsi="Times New Roman" w:cs="Times New Roman"/>
                <w:b/>
                <w:sz w:val="24"/>
                <w:szCs w:val="24"/>
              </w:rPr>
            </w:pPr>
            <w:r w:rsidRPr="00745F3F">
              <w:rPr>
                <w:rFonts w:ascii="Times New Roman" w:hAnsi="Times New Roman" w:cs="Times New Roman"/>
                <w:b/>
                <w:sz w:val="24"/>
                <w:szCs w:val="24"/>
              </w:rPr>
              <w:t>Prioritní osa 1 - Inovace a znalostní ekonomika</w:t>
            </w:r>
          </w:p>
        </w:tc>
      </w:tr>
      <w:tr w:rsidR="00AC471C" w:rsidRPr="00745F3F" w:rsidTr="00944582">
        <w:tc>
          <w:tcPr>
            <w:tcW w:w="9212" w:type="dxa"/>
          </w:tcPr>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Např. strategická spolupráce pro optimalizaci/ zvýšení využívání nových technologií přátelských k životnímu prostředí, výměna zkušeností při restrukturalizaci regionů závislých </w:t>
            </w:r>
            <w:r w:rsidRPr="00745F3F">
              <w:rPr>
                <w:rFonts w:ascii="Times New Roman" w:hAnsi="Times New Roman" w:cs="Times New Roman"/>
                <w:sz w:val="24"/>
                <w:szCs w:val="24"/>
              </w:rPr>
              <w:lastRenderedPageBreak/>
              <w:t>na tradičním průmyslu, shromáždění a přenos dobrých zkušeností na vědecké parky, inovační centra, podnikatelské inkubátory nebo klastry, spolupráce v oblasti finanční pomoci malým a středním podnikům a v oblasti rozvoje rizikového kapitálu, podpora ekonomické diversifikace venkovských oblastí, výměna informací o vývoji veřejných služeb založených na ICT pro zvýšení efektivnosti a konkurenceschopnosti obchodu a podnikání, výměna nejlepších postupů při zaškolování a udržení výzkumných pracovníků, společné aktivity pro zlepšení pracovního trhu s účastí diskriminovaných skupin, jakými jsou ženy a starší pracovníci apod.</w:t>
            </w:r>
          </w:p>
        </w:tc>
      </w:tr>
    </w:tbl>
    <w:p w:rsidR="00AC471C" w:rsidRPr="00745F3F" w:rsidRDefault="00AC471C" w:rsidP="00AC471C">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471C" w:rsidRPr="00745F3F" w:rsidTr="00944582">
        <w:tc>
          <w:tcPr>
            <w:tcW w:w="9212" w:type="dxa"/>
            <w:shd w:val="clear" w:color="auto" w:fill="E0E0E0"/>
          </w:tcPr>
          <w:p w:rsidR="00AC471C" w:rsidRPr="00745F3F" w:rsidRDefault="00AC471C" w:rsidP="00944582">
            <w:pPr>
              <w:autoSpaceDE w:val="0"/>
              <w:autoSpaceDN w:val="0"/>
              <w:adjustRightInd w:val="0"/>
              <w:spacing w:after="0" w:line="240" w:lineRule="auto"/>
              <w:jc w:val="center"/>
              <w:rPr>
                <w:rFonts w:ascii="Times New Roman" w:hAnsi="Times New Roman" w:cs="Times New Roman"/>
                <w:b/>
                <w:sz w:val="24"/>
                <w:szCs w:val="24"/>
              </w:rPr>
            </w:pPr>
            <w:r w:rsidRPr="00745F3F">
              <w:rPr>
                <w:rFonts w:ascii="Times New Roman" w:hAnsi="Times New Roman" w:cs="Times New Roman"/>
                <w:b/>
                <w:sz w:val="24"/>
                <w:szCs w:val="24"/>
              </w:rPr>
              <w:t>Prioritní osa 2 - Životní prostředí a ochrana před riziky</w:t>
            </w:r>
          </w:p>
        </w:tc>
      </w:tr>
      <w:tr w:rsidR="00AC471C" w:rsidRPr="00745F3F" w:rsidTr="00944582">
        <w:tc>
          <w:tcPr>
            <w:tcW w:w="9212" w:type="dxa"/>
          </w:tcPr>
          <w:p w:rsidR="00AC471C" w:rsidRPr="00745F3F" w:rsidRDefault="00AC471C" w:rsidP="00944582">
            <w:pPr>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Např. výměna zkušeností se zvyšováním povědomí a krizovým plánováním v oblastech, jakými jsou komplikovaně postavené přehrady, seismické oblasti, oblasti náchylné </w:t>
            </w:r>
            <w:r w:rsidRPr="00745F3F">
              <w:rPr>
                <w:rFonts w:ascii="Times New Roman" w:hAnsi="Times New Roman" w:cs="Times New Roman"/>
                <w:sz w:val="24"/>
                <w:szCs w:val="24"/>
              </w:rPr>
              <w:br/>
              <w:t xml:space="preserve">k povodním atd., výměna zkušeností s řešením znečištění ovzduší, strategie pro zlepšení kvality dodávek vody a její úpravy vč. spolupráce v oblasti hospodaření s vodou, výměna zkušeností pro zlepšení hospodaření s odpady, podpora druhů nebo ochrany prostředí jejich přirozeného výskytu, které dostaly prioritu v rámci Natura 2000, sdělování znalostí </w:t>
            </w:r>
            <w:r w:rsidRPr="00745F3F">
              <w:rPr>
                <w:rFonts w:ascii="Times New Roman" w:hAnsi="Times New Roman" w:cs="Times New Roman"/>
                <w:sz w:val="24"/>
                <w:szCs w:val="24"/>
              </w:rPr>
              <w:br/>
              <w:t xml:space="preserve">a zkušeností týkajících se vozidel s nízkou spotřebou paliva a nových technologií pohonu ke snížení emisí, informační systémy pro lepší řízení dopravního provozu a zlepšení průběhu dopravy a pro zlepšení monitorování údajů o městské dopravě, rozvoj a výměna společných strategií pro propagaci kulturního majetku jako potenciálu pro ekonomický rozvoj regionů </w:t>
            </w:r>
            <w:r w:rsidRPr="00745F3F">
              <w:rPr>
                <w:rFonts w:ascii="Times New Roman" w:hAnsi="Times New Roman" w:cs="Times New Roman"/>
                <w:sz w:val="24"/>
                <w:szCs w:val="24"/>
              </w:rPr>
              <w:br/>
              <w:t>s důrazem na udržení cestovního ruchu apod.</w:t>
            </w:r>
          </w:p>
        </w:tc>
      </w:tr>
    </w:tbl>
    <w:p w:rsidR="00AC471C" w:rsidRPr="00745F3F" w:rsidRDefault="00AC471C" w:rsidP="00AC471C">
      <w:pPr>
        <w:autoSpaceDE w:val="0"/>
        <w:autoSpaceDN w:val="0"/>
        <w:adjustRightInd w:val="0"/>
        <w:spacing w:after="0" w:line="240" w:lineRule="auto"/>
        <w:rPr>
          <w:rFonts w:ascii="Times New Roman" w:hAnsi="Times New Roman" w:cs="Times New Roman"/>
          <w:sz w:val="24"/>
          <w:szCs w:val="24"/>
        </w:rPr>
      </w:pPr>
    </w:p>
    <w:p w:rsidR="00AC471C" w:rsidRPr="00745F3F" w:rsidRDefault="00AC471C" w:rsidP="00AC471C">
      <w:pPr>
        <w:rPr>
          <w:rFonts w:ascii="Times New Roman" w:hAnsi="Times New Roman" w:cs="Times New Roman"/>
          <w:sz w:val="24"/>
          <w:szCs w:val="24"/>
        </w:rPr>
      </w:pPr>
      <w:r w:rsidRPr="00745F3F">
        <w:rPr>
          <w:rFonts w:ascii="Times New Roman" w:hAnsi="Times New Roman" w:cs="Times New Roman"/>
          <w:sz w:val="24"/>
          <w:szCs w:val="24"/>
        </w:rPr>
        <w:t xml:space="preserve">(Zdroj: </w:t>
      </w:r>
      <w:hyperlink r:id="rId8" w:history="1">
        <w:r w:rsidRPr="00745F3F">
          <w:rPr>
            <w:rStyle w:val="Hypertextovodkaz"/>
            <w:rFonts w:ascii="Times New Roman" w:hAnsi="Times New Roman" w:cs="Times New Roman"/>
            <w:sz w:val="24"/>
            <w:szCs w:val="24"/>
          </w:rPr>
          <w:t>www.strukturalni-fondy.cz</w:t>
        </w:r>
      </w:hyperlink>
      <w:r w:rsidRPr="00745F3F">
        <w:rPr>
          <w:rFonts w:ascii="Times New Roman" w:hAnsi="Times New Roman" w:cs="Times New Roman"/>
          <w:sz w:val="24"/>
          <w:szCs w:val="24"/>
        </w:rPr>
        <w:t>)</w:t>
      </w:r>
    </w:p>
    <w:p w:rsidR="00AC471C" w:rsidRPr="00745F3F" w:rsidRDefault="00AC471C" w:rsidP="00AC471C">
      <w:pPr>
        <w:pStyle w:val="I-C2podkapitola"/>
      </w:pPr>
      <w:bookmarkStart w:id="7" w:name="_Toc271398057"/>
      <w:r w:rsidRPr="00745F3F">
        <w:t>5.</w:t>
      </w:r>
      <w:r>
        <w:t>1.</w:t>
      </w:r>
      <w:r w:rsidRPr="00745F3F">
        <w:t>7</w:t>
      </w:r>
      <w:r w:rsidRPr="00745F3F">
        <w:tab/>
        <w:t>Finanční mechanismus EHP/Norska</w:t>
      </w:r>
      <w:bookmarkEnd w:id="7"/>
    </w:p>
    <w:p w:rsidR="00AC471C" w:rsidRPr="00745F3F" w:rsidRDefault="00AC471C" w:rsidP="00AC471C">
      <w:pPr>
        <w:jc w:val="both"/>
        <w:rPr>
          <w:rFonts w:ascii="Times New Roman" w:hAnsi="Times New Roman" w:cs="Times New Roman"/>
          <w:sz w:val="24"/>
          <w:szCs w:val="24"/>
        </w:rPr>
      </w:pPr>
      <w:r w:rsidRPr="00745F3F">
        <w:rPr>
          <w:rFonts w:ascii="Times New Roman" w:hAnsi="Times New Roman" w:cs="Times New Roman"/>
          <w:sz w:val="24"/>
          <w:szCs w:val="24"/>
        </w:rPr>
        <w:t>Finanční mechanismus Evropského hospodářského prostoru/Norska bu</w:t>
      </w:r>
      <w:r>
        <w:rPr>
          <w:rFonts w:ascii="Times New Roman" w:hAnsi="Times New Roman" w:cs="Times New Roman"/>
          <w:sz w:val="24"/>
          <w:szCs w:val="24"/>
        </w:rPr>
        <w:t xml:space="preserve">de zahrnovat léta 2009 – 2014. </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Technická asistence a Bilaterální fond na národní úrovni</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Biodiverzita a ekosystémové služby/Monitorování a integrované plánování a kontrola</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v životním prostředí/Adaptace na změnu klimatu</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Program pro nevládní neziskové organizace (NGO Programme)</w:t>
      </w:r>
    </w:p>
    <w:p w:rsidR="00AC471C" w:rsidRPr="00745F3F" w:rsidRDefault="00AC471C" w:rsidP="00AC471C">
      <w:pPr>
        <w:pStyle w:val="Odstavecseseznamem"/>
        <w:numPr>
          <w:ilvl w:val="0"/>
          <w:numId w:val="7"/>
        </w:numPr>
        <w:tabs>
          <w:tab w:val="left" w:pos="2730"/>
        </w:tabs>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Ohrožené děti a mládež</w:t>
      </w:r>
      <w:r w:rsidRPr="00745F3F">
        <w:rPr>
          <w:rFonts w:ascii="Times New Roman" w:hAnsi="Times New Roman" w:cs="Times New Roman"/>
          <w:bCs/>
          <w:sz w:val="24"/>
          <w:szCs w:val="24"/>
        </w:rPr>
        <w:tab/>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Národní, regionální a místní iniciativy pro snižování nerovností mezi skupinami a na podporu</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sociálního začleňování</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Kulturní dědictví a současné umění</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Program EHP na spolupráci škol a stipendia / Program na bilaterální spolupráci škol a stipendia</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Pilotní studie a průzkum technologií na zachycování a ukládání oxidu uhličitého (CCS)</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Fond pro podporu výzkumu</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Budování kapacit a spolupráce institucí s norskými veřejnými institucemi, místními a regionálními úřady</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Iniciativy v oblasti veřejného zdraví</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 xml:space="preserve">Uplatňování hlediska rovných příležitostí žen a mužů a podpora slaďování pracovního </w:t>
      </w:r>
      <w:r w:rsidRPr="00745F3F">
        <w:rPr>
          <w:rFonts w:ascii="Times New Roman" w:hAnsi="Times New Roman" w:cs="Times New Roman"/>
          <w:bCs/>
          <w:sz w:val="24"/>
          <w:szCs w:val="24"/>
        </w:rPr>
        <w:br/>
        <w:t>a soukromého života/ Domácí násilí a násilí založené na pohlaví</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lastRenderedPageBreak/>
        <w:t>Domácí násilí a násilí založené na pohlaví/ Sjednocení rovnosti žen a mužů a podpora</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Slaďování soukromého a pracovního života</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Spolupráce v rámci Schengenu a boj proti přeshraniční a organizované trestné činnosti,</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včetně nezákonného obchodování s lidmi a migraci zločineckých skupin</w:t>
      </w:r>
    </w:p>
    <w:p w:rsidR="00AC471C" w:rsidRPr="00745F3F" w:rsidRDefault="00AC471C" w:rsidP="00AC471C">
      <w:pPr>
        <w:pStyle w:val="Odstavecseseznamem"/>
        <w:numPr>
          <w:ilvl w:val="0"/>
          <w:numId w:val="7"/>
        </w:numPr>
        <w:autoSpaceDE w:val="0"/>
        <w:autoSpaceDN w:val="0"/>
        <w:adjustRightInd w:val="0"/>
        <w:spacing w:line="240" w:lineRule="auto"/>
        <w:rPr>
          <w:rFonts w:ascii="Times New Roman" w:hAnsi="Times New Roman" w:cs="Times New Roman"/>
          <w:bCs/>
          <w:sz w:val="24"/>
          <w:szCs w:val="24"/>
        </w:rPr>
      </w:pPr>
      <w:r w:rsidRPr="00745F3F">
        <w:rPr>
          <w:rFonts w:ascii="Times New Roman" w:hAnsi="Times New Roman" w:cs="Times New Roman"/>
          <w:bCs/>
          <w:sz w:val="24"/>
          <w:szCs w:val="24"/>
        </w:rPr>
        <w:t>Budování kapacit a spolupráce v justici / Nápravné služby včetně alternativních trestů</w:t>
      </w:r>
    </w:p>
    <w:p w:rsidR="00AC471C" w:rsidRPr="00745F3F" w:rsidRDefault="00AC471C" w:rsidP="00AC471C">
      <w:pPr>
        <w:autoSpaceDE w:val="0"/>
        <w:autoSpaceDN w:val="0"/>
        <w:adjustRightInd w:val="0"/>
        <w:rPr>
          <w:rFonts w:ascii="Times New Roman" w:hAnsi="Times New Roman" w:cs="Times New Roman"/>
          <w:bCs/>
          <w:sz w:val="24"/>
          <w:szCs w:val="24"/>
        </w:rPr>
      </w:pPr>
    </w:p>
    <w:p w:rsidR="00AC471C" w:rsidRPr="00745F3F" w:rsidRDefault="00AC471C" w:rsidP="00AC471C">
      <w:pPr>
        <w:autoSpaceDE w:val="0"/>
        <w:autoSpaceDN w:val="0"/>
        <w:adjustRightInd w:val="0"/>
        <w:rPr>
          <w:rFonts w:ascii="Times New Roman" w:hAnsi="Times New Roman" w:cs="Times New Roman"/>
          <w:b/>
          <w:bCs/>
          <w:sz w:val="24"/>
          <w:szCs w:val="24"/>
        </w:rPr>
      </w:pPr>
      <w:r w:rsidRPr="00745F3F">
        <w:rPr>
          <w:rFonts w:ascii="Times New Roman" w:hAnsi="Times New Roman" w:cs="Times New Roman"/>
          <w:b/>
          <w:bCs/>
          <w:sz w:val="24"/>
          <w:szCs w:val="24"/>
        </w:rPr>
        <w:t>Vyhlášení vlastních výzev se předpokládá od počátku 2. pololetí 2013</w:t>
      </w:r>
      <w:r>
        <w:rPr>
          <w:rFonts w:ascii="Times New Roman" w:hAnsi="Times New Roman" w:cs="Times New Roman"/>
          <w:b/>
          <w:bCs/>
          <w:sz w:val="24"/>
          <w:szCs w:val="24"/>
        </w:rPr>
        <w:t>.</w:t>
      </w:r>
    </w:p>
    <w:p w:rsidR="00AC471C" w:rsidRPr="00AE3233" w:rsidRDefault="00AC471C" w:rsidP="00AC471C">
      <w:pPr>
        <w:autoSpaceDE w:val="0"/>
        <w:autoSpaceDN w:val="0"/>
        <w:adjustRightInd w:val="0"/>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CZ08 Pilotní studie a průzkum technologií na zachycování a ukládání oxidu</w:t>
      </w:r>
      <w:r>
        <w:rPr>
          <w:rFonts w:ascii="Times New Roman" w:hAnsi="Times New Roman" w:cs="Times New Roman"/>
          <w:b/>
          <w:sz w:val="24"/>
          <w:szCs w:val="24"/>
        </w:rPr>
        <w:t xml:space="preserve"> uhličitého (CCS) / 7,04 mil. €</w:t>
      </w:r>
      <w:r>
        <w:rPr>
          <w:rFonts w:ascii="Times New Roman" w:hAnsi="Times New Roman" w:cs="Times New Roman"/>
          <w:b/>
          <w:sz w:val="24"/>
          <w:szCs w:val="24"/>
        </w:rPr>
        <w:br/>
      </w:r>
      <w:r w:rsidRPr="00745F3F">
        <w:rPr>
          <w:rFonts w:ascii="Times New Roman" w:hAnsi="Times New Roman" w:cs="Times New Roman"/>
          <w:color w:val="333333"/>
          <w:sz w:val="24"/>
          <w:szCs w:val="24"/>
        </w:rPr>
        <w:t>Program je zaměřen na realizaci pilotních studií a průzkumů pro CCS technologie, které povedou ke zvýšení znalostí a mezinárodní spolupráce v této oblasti. Program dále předpokládá realizaci osvětových kampaní pro zvýšení povědomí laické a odborné veřejnosti v oblasti CCS. Program bude realizován prostřednictvím OV.</w:t>
      </w:r>
    </w:p>
    <w:p w:rsidR="00AC471C" w:rsidRPr="00745F3F" w:rsidRDefault="00AC471C" w:rsidP="00AC471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color w:val="333333"/>
          <w:sz w:val="24"/>
          <w:szCs w:val="24"/>
        </w:rPr>
        <w:br/>
      </w:r>
      <w:r w:rsidRPr="00745F3F">
        <w:rPr>
          <w:rFonts w:ascii="Times New Roman" w:hAnsi="Times New Roman" w:cs="Times New Roman"/>
          <w:b/>
          <w:sz w:val="24"/>
          <w:szCs w:val="24"/>
        </w:rPr>
        <w:t>CZ09 Fond pro podporu výzkumu /12,5 mil. €</w:t>
      </w:r>
    </w:p>
    <w:p w:rsidR="00AC471C" w:rsidRPr="00745F3F" w:rsidRDefault="00AC471C" w:rsidP="00AC471C">
      <w:pPr>
        <w:autoSpaceDE w:val="0"/>
        <w:autoSpaceDN w:val="0"/>
        <w:adjustRightInd w:val="0"/>
        <w:spacing w:after="0" w:line="240" w:lineRule="auto"/>
        <w:rPr>
          <w:rFonts w:ascii="Times New Roman" w:hAnsi="Times New Roman" w:cs="Times New Roman"/>
          <w:color w:val="333333"/>
          <w:sz w:val="24"/>
          <w:szCs w:val="24"/>
        </w:rPr>
      </w:pPr>
      <w:r w:rsidRPr="00745F3F">
        <w:rPr>
          <w:rFonts w:ascii="Times New Roman" w:hAnsi="Times New Roman" w:cs="Times New Roman"/>
          <w:color w:val="333333"/>
          <w:sz w:val="24"/>
          <w:szCs w:val="24"/>
        </w:rPr>
        <w:t>Bilaterální program je zaměřen na rozvoj vědeckých znalostí prostřednictvím spolupráce mezi českými a norskými institucemi. Prioritní oblasti jsou humanitní vědy, životní prostředí a zdraví. Program bude realizován prostřednictvím OV.</w:t>
      </w:r>
    </w:p>
    <w:p w:rsidR="00AC471C" w:rsidRPr="00745F3F" w:rsidRDefault="00AC471C" w:rsidP="00AC471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color w:val="333333"/>
          <w:sz w:val="24"/>
          <w:szCs w:val="24"/>
        </w:rPr>
        <w:br/>
      </w:r>
      <w:r w:rsidRPr="00745F3F">
        <w:rPr>
          <w:rFonts w:ascii="Times New Roman" w:hAnsi="Times New Roman" w:cs="Times New Roman"/>
          <w:b/>
          <w:sz w:val="24"/>
          <w:szCs w:val="24"/>
        </w:rPr>
        <w:t>CZ10 Budování kapacit a spolupráce institucí s norskými veřejnými institucemi, místními a regionálními úřady / 1,76 mil. €</w:t>
      </w:r>
    </w:p>
    <w:p w:rsidR="00AC471C" w:rsidRPr="00745F3F" w:rsidRDefault="00AC471C" w:rsidP="00AC471C">
      <w:pPr>
        <w:autoSpaceDE w:val="0"/>
        <w:autoSpaceDN w:val="0"/>
        <w:adjustRightInd w:val="0"/>
        <w:spacing w:after="0" w:line="240" w:lineRule="auto"/>
        <w:rPr>
          <w:rFonts w:ascii="Times New Roman" w:hAnsi="Times New Roman" w:cs="Times New Roman"/>
          <w:color w:val="333333"/>
          <w:sz w:val="24"/>
          <w:szCs w:val="24"/>
        </w:rPr>
      </w:pPr>
      <w:r w:rsidRPr="00745F3F">
        <w:rPr>
          <w:rFonts w:ascii="Times New Roman" w:hAnsi="Times New Roman" w:cs="Times New Roman"/>
          <w:color w:val="333333"/>
          <w:sz w:val="24"/>
          <w:szCs w:val="24"/>
        </w:rPr>
        <w:t>V rámci programu bude realizován jeden PDP v bilaterální spolupráci s Council of Europe, jehož cílem je proškolit relevantní osoby působící ve všech stupních veřejné správy v oblasti odhalování a vyšetřování korupčních a souvisejících finančních trestných činů. Projekt bude zaměřen především na financování politických stran, trestní odpovědnost právnických osob a odčerpávání majetku pocházejícího z nelegitimních zdrojů.</w:t>
      </w:r>
      <w:r>
        <w:rPr>
          <w:rFonts w:ascii="Times New Roman" w:hAnsi="Times New Roman" w:cs="Times New Roman"/>
          <w:color w:val="333333"/>
          <w:sz w:val="24"/>
          <w:szCs w:val="24"/>
        </w:rPr>
        <w:br/>
      </w:r>
    </w:p>
    <w:p w:rsidR="00AC471C" w:rsidRPr="00745F3F" w:rsidRDefault="00AC471C" w:rsidP="00AC471C">
      <w:pPr>
        <w:autoSpaceDE w:val="0"/>
        <w:autoSpaceDN w:val="0"/>
        <w:adjustRightInd w:val="0"/>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CZ11 Iniciativy v oblasti veřejného zdraví /19,18 mil. €</w:t>
      </w:r>
    </w:p>
    <w:p w:rsidR="00AC471C" w:rsidRPr="00745F3F" w:rsidRDefault="00AC471C" w:rsidP="00AC471C">
      <w:pPr>
        <w:autoSpaceDE w:val="0"/>
        <w:autoSpaceDN w:val="0"/>
        <w:adjustRightInd w:val="0"/>
        <w:spacing w:after="0" w:line="240" w:lineRule="auto"/>
        <w:rPr>
          <w:rFonts w:ascii="Times New Roman" w:hAnsi="Times New Roman" w:cs="Times New Roman"/>
          <w:color w:val="333333"/>
          <w:sz w:val="24"/>
          <w:szCs w:val="24"/>
        </w:rPr>
      </w:pPr>
      <w:r w:rsidRPr="00745F3F">
        <w:rPr>
          <w:rFonts w:ascii="Times New Roman" w:hAnsi="Times New Roman" w:cs="Times New Roman"/>
          <w:color w:val="333333"/>
          <w:sz w:val="24"/>
          <w:szCs w:val="24"/>
        </w:rPr>
        <w:t>Program je rozdělen na dvě oblasti. Cílem první je zlepšení psychiatrické péče prostřednictvím pomoci cílovým skupinám pacientů ke kvalitní zdravotní péči, zlepšení prevence a předcházení následných komplikací. Tato oblast obsahuje OV, MGS a PDP zaměřený na rehabilitační péči. Druhá programová oblast se věnuje péči o děti se zaměřením</w:t>
      </w:r>
    </w:p>
    <w:p w:rsidR="00AC471C" w:rsidRPr="00745F3F" w:rsidRDefault="00AC471C" w:rsidP="00AC471C">
      <w:pPr>
        <w:autoSpaceDE w:val="0"/>
        <w:autoSpaceDN w:val="0"/>
        <w:adjustRightInd w:val="0"/>
        <w:spacing w:after="0" w:line="240" w:lineRule="auto"/>
        <w:rPr>
          <w:rFonts w:ascii="Times New Roman" w:hAnsi="Times New Roman" w:cs="Times New Roman"/>
          <w:color w:val="333333"/>
          <w:sz w:val="24"/>
          <w:szCs w:val="24"/>
        </w:rPr>
      </w:pPr>
      <w:r w:rsidRPr="00745F3F">
        <w:rPr>
          <w:rFonts w:ascii="Times New Roman" w:hAnsi="Times New Roman" w:cs="Times New Roman"/>
          <w:color w:val="333333"/>
          <w:sz w:val="24"/>
          <w:szCs w:val="24"/>
        </w:rPr>
        <w:t>na prevenci dětských zranění, druhotnou prevenci před následky nemocí a zdravotních problémů z dětství a vzácná dětská onemocnění. Bude realizována prostřednictvím OV, MGS a dvou PDP.</w:t>
      </w:r>
      <w:r>
        <w:rPr>
          <w:rFonts w:ascii="Times New Roman" w:hAnsi="Times New Roman" w:cs="Times New Roman"/>
          <w:color w:val="333333"/>
          <w:sz w:val="24"/>
          <w:szCs w:val="24"/>
        </w:rPr>
        <w:br/>
      </w:r>
    </w:p>
    <w:p w:rsidR="00AC471C" w:rsidRPr="00745F3F" w:rsidRDefault="00AC471C" w:rsidP="00AC471C">
      <w:pPr>
        <w:autoSpaceDE w:val="0"/>
        <w:autoSpaceDN w:val="0"/>
        <w:adjustRightInd w:val="0"/>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CZ12 Uplatňování hlediska rovných příležitostí žen a mužů a podpora slaďování pracovního a soukromého života / Domácí násilí a násilí založené na pohlaví / 6,2 mil. €</w:t>
      </w:r>
    </w:p>
    <w:p w:rsidR="00AC471C" w:rsidRPr="00745F3F" w:rsidRDefault="00AC471C" w:rsidP="00AC471C">
      <w:pPr>
        <w:autoSpaceDE w:val="0"/>
        <w:autoSpaceDN w:val="0"/>
        <w:adjustRightInd w:val="0"/>
        <w:spacing w:after="0" w:line="240" w:lineRule="auto"/>
        <w:rPr>
          <w:rFonts w:ascii="Times New Roman" w:hAnsi="Times New Roman" w:cs="Times New Roman"/>
          <w:color w:val="333333"/>
          <w:sz w:val="24"/>
          <w:szCs w:val="24"/>
        </w:rPr>
      </w:pPr>
      <w:r w:rsidRPr="00745F3F">
        <w:rPr>
          <w:rFonts w:ascii="Times New Roman" w:hAnsi="Times New Roman" w:cs="Times New Roman"/>
          <w:color w:val="333333"/>
          <w:sz w:val="24"/>
          <w:szCs w:val="24"/>
        </w:rPr>
        <w:t xml:space="preserve">Program obsahuje dvě oblasti. První se zaměřuje na rovné příležitosti žen a mužů v oblasti ekonomické nerovnosti, genderových stereotypů ve vzdělávání a v médiích, institucionální zabezpečení rovných příležitostí a vyšší zapojení žen ve veřejném životě. Druhá oblast má </w:t>
      </w:r>
      <w:r w:rsidRPr="00745F3F">
        <w:rPr>
          <w:rFonts w:ascii="Times New Roman" w:hAnsi="Times New Roman" w:cs="Times New Roman"/>
          <w:color w:val="333333"/>
          <w:sz w:val="24"/>
          <w:szCs w:val="24"/>
        </w:rPr>
        <w:br/>
        <w:t>za cíl zajistit prevenci a podporu pro osoby ohrožené domácím násilím a podpořit vzdělávání a watchdogové aktivity veřejné správy. V rámci programu bude realizována OV a MGS.</w:t>
      </w:r>
    </w:p>
    <w:p w:rsidR="00AC471C" w:rsidRPr="00745F3F" w:rsidRDefault="00AC471C" w:rsidP="00AC471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color w:val="333333"/>
          <w:sz w:val="24"/>
          <w:szCs w:val="24"/>
        </w:rPr>
        <w:br/>
      </w:r>
      <w:r w:rsidRPr="00745F3F">
        <w:rPr>
          <w:rFonts w:ascii="Times New Roman" w:hAnsi="Times New Roman" w:cs="Times New Roman"/>
          <w:b/>
          <w:sz w:val="24"/>
          <w:szCs w:val="24"/>
        </w:rPr>
        <w:t xml:space="preserve">CZ13 Domácí násilí a násilí založené na pohlaví/ Sjednocení rovnosti žen a mužů </w:t>
      </w:r>
      <w:r w:rsidRPr="00745F3F">
        <w:rPr>
          <w:rFonts w:ascii="Times New Roman" w:hAnsi="Times New Roman" w:cs="Times New Roman"/>
          <w:b/>
          <w:sz w:val="24"/>
          <w:szCs w:val="24"/>
        </w:rPr>
        <w:br/>
        <w:t>a podpora slaďování soukromého a pracovního života / 0,84 mil. €</w:t>
      </w:r>
    </w:p>
    <w:p w:rsidR="00AC471C" w:rsidRPr="00745F3F" w:rsidRDefault="00AC471C" w:rsidP="00AC471C">
      <w:pPr>
        <w:autoSpaceDE w:val="0"/>
        <w:autoSpaceDN w:val="0"/>
        <w:adjustRightInd w:val="0"/>
        <w:spacing w:after="0" w:line="240" w:lineRule="auto"/>
        <w:rPr>
          <w:rFonts w:ascii="Times New Roman" w:hAnsi="Times New Roman" w:cs="Times New Roman"/>
          <w:color w:val="333333"/>
          <w:sz w:val="24"/>
          <w:szCs w:val="24"/>
        </w:rPr>
      </w:pPr>
      <w:r w:rsidRPr="00745F3F">
        <w:rPr>
          <w:rFonts w:ascii="Times New Roman" w:hAnsi="Times New Roman" w:cs="Times New Roman"/>
          <w:color w:val="333333"/>
          <w:sz w:val="24"/>
          <w:szCs w:val="24"/>
        </w:rPr>
        <w:lastRenderedPageBreak/>
        <w:t>V rámci programu bude realizován jeden PDP, který směřuje k podpoře preventivních opatření zaměřených na domácí násilí a k podpoře kapacit veřejných institucí a dalších zaměstnavatelů nabízet efektivní možnosti sladění pracovního, soukromého a rodinného života. Důležitou součástí projektu jsou mediální kampaně.</w:t>
      </w:r>
    </w:p>
    <w:p w:rsidR="00AC471C" w:rsidRPr="00745F3F" w:rsidRDefault="00AC471C" w:rsidP="00AC471C">
      <w:pPr>
        <w:autoSpaceDE w:val="0"/>
        <w:autoSpaceDN w:val="0"/>
        <w:adjustRightInd w:val="0"/>
        <w:spacing w:after="0" w:line="240" w:lineRule="auto"/>
        <w:rPr>
          <w:rFonts w:ascii="Times New Roman" w:hAnsi="Times New Roman" w:cs="Times New Roman"/>
          <w:color w:val="333333"/>
          <w:sz w:val="24"/>
          <w:szCs w:val="24"/>
        </w:rPr>
      </w:pPr>
    </w:p>
    <w:p w:rsidR="00AC471C" w:rsidRPr="00745F3F" w:rsidRDefault="00AC471C" w:rsidP="00AC471C">
      <w:pPr>
        <w:autoSpaceDE w:val="0"/>
        <w:autoSpaceDN w:val="0"/>
        <w:adjustRightInd w:val="0"/>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CZ14 Spolupráce v rámci Schengenu a boj proti přeshraniční a organizované trestné činnosti, včetně nezákonného obchodování s lidmi, a migraci zločineckých skupin / 7,04 mil. €</w:t>
      </w:r>
    </w:p>
    <w:p w:rsidR="00AC471C" w:rsidRPr="00745F3F" w:rsidRDefault="00AC471C" w:rsidP="00AC471C">
      <w:pPr>
        <w:autoSpaceDE w:val="0"/>
        <w:autoSpaceDN w:val="0"/>
        <w:adjustRightInd w:val="0"/>
        <w:spacing w:after="0" w:line="240" w:lineRule="auto"/>
        <w:rPr>
          <w:rFonts w:ascii="Times New Roman" w:hAnsi="Times New Roman" w:cs="Times New Roman"/>
          <w:color w:val="333333"/>
          <w:sz w:val="24"/>
          <w:szCs w:val="24"/>
        </w:rPr>
      </w:pPr>
      <w:r w:rsidRPr="00745F3F">
        <w:rPr>
          <w:rFonts w:ascii="Times New Roman" w:hAnsi="Times New Roman" w:cs="Times New Roman"/>
          <w:color w:val="333333"/>
          <w:sz w:val="24"/>
          <w:szCs w:val="24"/>
        </w:rPr>
        <w:t>Program se skládá z několika PDP, jejichž cílem je zvýšení bezpečnosti obyvatel prostřednictvím zlepšení efektivnosti spolupráce mezi příslušnými státními orgány.</w:t>
      </w:r>
    </w:p>
    <w:p w:rsidR="00AC471C" w:rsidRPr="00745F3F" w:rsidRDefault="00AC471C" w:rsidP="00AC471C">
      <w:pPr>
        <w:autoSpaceDE w:val="0"/>
        <w:autoSpaceDN w:val="0"/>
        <w:adjustRightInd w:val="0"/>
        <w:spacing w:after="0" w:line="240" w:lineRule="auto"/>
        <w:rPr>
          <w:rFonts w:ascii="Times New Roman" w:hAnsi="Times New Roman" w:cs="Times New Roman"/>
          <w:color w:val="333333"/>
          <w:sz w:val="24"/>
          <w:szCs w:val="24"/>
        </w:rPr>
      </w:pPr>
    </w:p>
    <w:p w:rsidR="00AC471C" w:rsidRPr="00745F3F" w:rsidRDefault="00AC471C" w:rsidP="00AC471C">
      <w:pPr>
        <w:autoSpaceDE w:val="0"/>
        <w:autoSpaceDN w:val="0"/>
        <w:adjustRightInd w:val="0"/>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CZ15 Budování kapacit a spolupráce v justici / Nápravné služby včetně alternativních trestů / 4,93 mil. €</w:t>
      </w:r>
    </w:p>
    <w:p w:rsidR="00AC471C" w:rsidRPr="00745F3F" w:rsidRDefault="00AC471C" w:rsidP="00AC471C">
      <w:pPr>
        <w:autoSpaceDE w:val="0"/>
        <w:autoSpaceDN w:val="0"/>
        <w:adjustRightInd w:val="0"/>
        <w:spacing w:after="0" w:line="240" w:lineRule="auto"/>
        <w:rPr>
          <w:rFonts w:ascii="Times New Roman" w:hAnsi="Times New Roman" w:cs="Times New Roman"/>
          <w:color w:val="333333"/>
          <w:sz w:val="24"/>
          <w:szCs w:val="24"/>
        </w:rPr>
      </w:pPr>
      <w:r w:rsidRPr="00745F3F">
        <w:rPr>
          <w:rFonts w:ascii="Times New Roman" w:hAnsi="Times New Roman" w:cs="Times New Roman"/>
          <w:color w:val="333333"/>
          <w:sz w:val="24"/>
          <w:szCs w:val="24"/>
        </w:rPr>
        <w:t>Program bude realizován prostřednictvím několika PDP. Projekty jsou zaměřené na rekonstrukci vybraných věznic, vzdělávání zaměstnanců Probační a mediační služby a Vězeňské služby, podporu zranitelných skupin ve vězení (programy pro odsouzené, materiály pro vězněné cizince) a zvýšení efektivity soudnictví zavedením videokonferencí.</w:t>
      </w:r>
    </w:p>
    <w:p w:rsidR="00AC471C" w:rsidRPr="00745F3F" w:rsidRDefault="00AC471C" w:rsidP="00AC471C">
      <w:pPr>
        <w:autoSpaceDE w:val="0"/>
        <w:autoSpaceDN w:val="0"/>
        <w:adjustRightInd w:val="0"/>
        <w:spacing w:after="0" w:line="240" w:lineRule="auto"/>
        <w:rPr>
          <w:rFonts w:ascii="Times New Roman" w:hAnsi="Times New Roman" w:cs="Times New Roman"/>
          <w:color w:val="333333"/>
          <w:sz w:val="24"/>
          <w:szCs w:val="24"/>
        </w:rPr>
      </w:pPr>
    </w:p>
    <w:p w:rsidR="00AC471C" w:rsidRPr="00745F3F" w:rsidRDefault="00AC471C" w:rsidP="00AC471C">
      <w:pPr>
        <w:autoSpaceDE w:val="0"/>
        <w:autoSpaceDN w:val="0"/>
        <w:adjustRightInd w:val="0"/>
        <w:spacing w:after="0" w:line="240" w:lineRule="auto"/>
        <w:rPr>
          <w:rFonts w:ascii="Times New Roman" w:hAnsi="Times New Roman" w:cs="Times New Roman"/>
          <w:b/>
          <w:sz w:val="24"/>
          <w:szCs w:val="24"/>
        </w:rPr>
      </w:pPr>
      <w:r w:rsidRPr="00745F3F">
        <w:rPr>
          <w:rFonts w:ascii="Times New Roman" w:hAnsi="Times New Roman" w:cs="Times New Roman"/>
          <w:b/>
          <w:sz w:val="24"/>
          <w:szCs w:val="24"/>
        </w:rPr>
        <w:t>Globální fon</w:t>
      </w:r>
      <w:r>
        <w:rPr>
          <w:rFonts w:ascii="Times New Roman" w:hAnsi="Times New Roman" w:cs="Times New Roman"/>
          <w:b/>
          <w:sz w:val="24"/>
          <w:szCs w:val="24"/>
        </w:rPr>
        <w:t xml:space="preserve">d pro podporu důstojné práce a </w:t>
      </w:r>
      <w:r w:rsidRPr="00745F3F">
        <w:rPr>
          <w:rFonts w:ascii="Times New Roman" w:hAnsi="Times New Roman" w:cs="Times New Roman"/>
          <w:b/>
          <w:sz w:val="24"/>
          <w:szCs w:val="24"/>
        </w:rPr>
        <w:t>ripartitního dialogu / 0,7 mil. €</w:t>
      </w:r>
    </w:p>
    <w:p w:rsidR="00AC471C" w:rsidRPr="00745F3F" w:rsidRDefault="00AC471C" w:rsidP="00AC471C">
      <w:pPr>
        <w:autoSpaceDE w:val="0"/>
        <w:autoSpaceDN w:val="0"/>
        <w:adjustRightInd w:val="0"/>
        <w:spacing w:after="0" w:line="240" w:lineRule="auto"/>
        <w:rPr>
          <w:rFonts w:ascii="Times New Roman" w:hAnsi="Times New Roman" w:cs="Times New Roman"/>
          <w:color w:val="333333"/>
          <w:sz w:val="24"/>
          <w:szCs w:val="24"/>
        </w:rPr>
      </w:pPr>
      <w:r w:rsidRPr="00745F3F">
        <w:rPr>
          <w:rFonts w:ascii="Times New Roman" w:hAnsi="Times New Roman" w:cs="Times New Roman"/>
          <w:color w:val="333333"/>
          <w:sz w:val="24"/>
          <w:szCs w:val="24"/>
        </w:rPr>
        <w:t>Program, na který je vyčleněno 1% z celkové alokace pro všechny přijímající země, je zaměřen na podporu důstojné práce a zlepšení tripartitní spolupráce mezi organizacemi zaměstnavatelů, odbory a státními orgány s cílem podpořit spravedlivý a udržitelný hospodářský a sociální růst. 2 OV proběhly v roce 2012, vyhlášení další OV se nepředpokládá.</w:t>
      </w:r>
    </w:p>
    <w:p w:rsidR="00AC471C" w:rsidRPr="00745F3F" w:rsidRDefault="00AC471C" w:rsidP="00AC471C">
      <w:pPr>
        <w:spacing w:after="0" w:line="240" w:lineRule="auto"/>
        <w:rPr>
          <w:rFonts w:ascii="Times New Roman" w:hAnsi="Times New Roman" w:cs="Times New Roman"/>
          <w:sz w:val="24"/>
          <w:szCs w:val="24"/>
        </w:rPr>
      </w:pPr>
    </w:p>
    <w:p w:rsidR="00AC471C" w:rsidRPr="00745F3F" w:rsidRDefault="00AC471C" w:rsidP="00AC471C">
      <w:pPr>
        <w:spacing w:after="0" w:line="240" w:lineRule="auto"/>
        <w:rPr>
          <w:rFonts w:ascii="Times New Roman" w:hAnsi="Times New Roman" w:cs="Times New Roman"/>
          <w:sz w:val="24"/>
          <w:szCs w:val="24"/>
        </w:rPr>
      </w:pPr>
    </w:p>
    <w:p w:rsidR="00AC471C" w:rsidRPr="00745F3F" w:rsidRDefault="00AC471C" w:rsidP="00AC471C">
      <w:pPr>
        <w:rPr>
          <w:rFonts w:ascii="Times New Roman" w:hAnsi="Times New Roman" w:cs="Times New Roman"/>
          <w:sz w:val="24"/>
          <w:szCs w:val="24"/>
        </w:rPr>
        <w:sectPr w:rsidR="00AC471C" w:rsidRPr="00745F3F">
          <w:headerReference w:type="default" r:id="rId9"/>
          <w:footerReference w:type="default" r:id="rId10"/>
          <w:pgSz w:w="11906" w:h="16838"/>
          <w:pgMar w:top="1417" w:right="1417" w:bottom="1417" w:left="1417" w:header="708" w:footer="708" w:gutter="0"/>
          <w:cols w:space="708"/>
          <w:docGrid w:linePitch="360"/>
        </w:sectPr>
      </w:pPr>
    </w:p>
    <w:p w:rsidR="00AC471C" w:rsidRDefault="00AC471C" w:rsidP="00AC471C">
      <w:pPr>
        <w:pStyle w:val="I-C2podkapitola"/>
        <w:spacing w:before="0" w:after="0"/>
      </w:pPr>
      <w:bookmarkStart w:id="8" w:name="_Toc271398058"/>
      <w:r w:rsidRPr="00745F3F">
        <w:lastRenderedPageBreak/>
        <w:t>5.</w:t>
      </w:r>
      <w:r>
        <w:t>1.</w:t>
      </w:r>
      <w:r w:rsidRPr="00745F3F">
        <w:t>8</w:t>
      </w:r>
      <w:r w:rsidRPr="00745F3F">
        <w:tab/>
        <w:t>Program švýcarsko-české spolupráce</w:t>
      </w:r>
      <w:bookmarkEnd w:id="8"/>
      <w:r w:rsidRPr="00745F3F">
        <w:t xml:space="preserve"> </w:t>
      </w:r>
    </w:p>
    <w:p w:rsidR="00AC471C" w:rsidRDefault="00AC471C" w:rsidP="00AC471C">
      <w:pPr>
        <w:pStyle w:val="I-C2podkapitola"/>
        <w:spacing w:before="0" w:after="0"/>
      </w:pPr>
    </w:p>
    <w:p w:rsidR="00AC471C" w:rsidRPr="00745F3F" w:rsidRDefault="00AC471C" w:rsidP="00AC471C">
      <w:pPr>
        <w:pStyle w:val="I-C2podkapitola"/>
        <w:spacing w:before="0" w:after="0"/>
      </w:pPr>
    </w:p>
    <w:tbl>
      <w:tblPr>
        <w:tblW w:w="8946" w:type="dxa"/>
        <w:tblInd w:w="55" w:type="dxa"/>
        <w:tblCellMar>
          <w:top w:w="30" w:type="dxa"/>
          <w:left w:w="70" w:type="dxa"/>
          <w:bottom w:w="30" w:type="dxa"/>
          <w:right w:w="70" w:type="dxa"/>
        </w:tblCellMar>
        <w:tblLook w:val="04A0" w:firstRow="1" w:lastRow="0" w:firstColumn="1" w:lastColumn="0" w:noHBand="0" w:noVBand="1"/>
      </w:tblPr>
      <w:tblGrid>
        <w:gridCol w:w="460"/>
        <w:gridCol w:w="2390"/>
        <w:gridCol w:w="6096"/>
      </w:tblGrid>
      <w:tr w:rsidR="00AC471C" w:rsidRPr="00745F3F" w:rsidTr="00944582">
        <w:trPr>
          <w:trHeight w:val="520"/>
          <w:tblHeader/>
        </w:trPr>
        <w:tc>
          <w:tcPr>
            <w:tcW w:w="460" w:type="dxa"/>
            <w:tcBorders>
              <w:top w:val="single" w:sz="4" w:space="0" w:color="auto"/>
              <w:left w:val="single" w:sz="4" w:space="0" w:color="auto"/>
              <w:bottom w:val="single" w:sz="4" w:space="0" w:color="auto"/>
              <w:right w:val="single" w:sz="4" w:space="0" w:color="auto"/>
            </w:tcBorders>
            <w:shd w:val="clear" w:color="auto" w:fill="BFBFBF"/>
            <w:vAlign w:val="center"/>
          </w:tcPr>
          <w:p w:rsidR="00AC471C" w:rsidRPr="00745F3F" w:rsidRDefault="00AC471C" w:rsidP="00944582">
            <w:pPr>
              <w:spacing w:after="0" w:line="240" w:lineRule="auto"/>
              <w:jc w:val="center"/>
              <w:rPr>
                <w:rFonts w:ascii="Times New Roman" w:hAnsi="Times New Roman" w:cs="Times New Roman"/>
                <w:b/>
                <w:bCs/>
                <w:sz w:val="24"/>
                <w:szCs w:val="24"/>
              </w:rPr>
            </w:pPr>
          </w:p>
        </w:tc>
        <w:tc>
          <w:tcPr>
            <w:tcW w:w="2390" w:type="dxa"/>
            <w:tcBorders>
              <w:top w:val="single" w:sz="4" w:space="0" w:color="auto"/>
              <w:left w:val="nil"/>
              <w:bottom w:val="single" w:sz="4" w:space="0" w:color="auto"/>
              <w:right w:val="single" w:sz="4" w:space="0" w:color="auto"/>
            </w:tcBorders>
            <w:shd w:val="clear" w:color="auto" w:fill="BFBFBF"/>
            <w:vAlign w:val="center"/>
          </w:tcPr>
          <w:p w:rsidR="00AC471C" w:rsidRPr="00745F3F" w:rsidRDefault="00AC471C" w:rsidP="00944582">
            <w:pPr>
              <w:spacing w:after="0" w:line="240" w:lineRule="auto"/>
              <w:jc w:val="center"/>
              <w:rPr>
                <w:rFonts w:ascii="Times New Roman" w:hAnsi="Times New Roman" w:cs="Times New Roman"/>
                <w:b/>
                <w:bCs/>
                <w:sz w:val="24"/>
                <w:szCs w:val="24"/>
              </w:rPr>
            </w:pPr>
            <w:r w:rsidRPr="00745F3F">
              <w:rPr>
                <w:rFonts w:ascii="Times New Roman" w:hAnsi="Times New Roman" w:cs="Times New Roman"/>
                <w:b/>
                <w:sz w:val="24"/>
                <w:szCs w:val="24"/>
              </w:rPr>
              <w:t>Prioritní oblasti</w:t>
            </w:r>
          </w:p>
        </w:tc>
        <w:tc>
          <w:tcPr>
            <w:tcW w:w="6096" w:type="dxa"/>
            <w:tcBorders>
              <w:top w:val="single" w:sz="4" w:space="0" w:color="auto"/>
              <w:left w:val="nil"/>
              <w:bottom w:val="single" w:sz="4" w:space="0" w:color="auto"/>
              <w:right w:val="single" w:sz="4" w:space="0" w:color="auto"/>
            </w:tcBorders>
            <w:shd w:val="clear" w:color="auto" w:fill="BFBFBF"/>
            <w:vAlign w:val="center"/>
          </w:tcPr>
          <w:p w:rsidR="00AC471C" w:rsidRPr="00745F3F" w:rsidRDefault="00AC471C" w:rsidP="00944582">
            <w:pPr>
              <w:spacing w:after="0" w:line="240" w:lineRule="auto"/>
              <w:jc w:val="center"/>
              <w:rPr>
                <w:rFonts w:ascii="Times New Roman" w:hAnsi="Times New Roman" w:cs="Times New Roman"/>
                <w:b/>
                <w:bCs/>
                <w:sz w:val="24"/>
                <w:szCs w:val="24"/>
              </w:rPr>
            </w:pPr>
            <w:r w:rsidRPr="00745F3F">
              <w:rPr>
                <w:rFonts w:ascii="Times New Roman" w:hAnsi="Times New Roman" w:cs="Times New Roman"/>
                <w:b/>
                <w:sz w:val="24"/>
                <w:szCs w:val="24"/>
              </w:rPr>
              <w:t>Zaměření priority</w:t>
            </w:r>
          </w:p>
        </w:tc>
      </w:tr>
      <w:tr w:rsidR="00AC471C" w:rsidRPr="00745F3F" w:rsidTr="00944582">
        <w:trPr>
          <w:trHeight w:val="315"/>
        </w:trPr>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AC471C" w:rsidRPr="00745F3F" w:rsidRDefault="00AC471C" w:rsidP="00944582">
            <w:pPr>
              <w:spacing w:after="0" w:line="240" w:lineRule="auto"/>
              <w:jc w:val="center"/>
              <w:rPr>
                <w:rFonts w:ascii="Times New Roman" w:hAnsi="Times New Roman" w:cs="Times New Roman"/>
                <w:b/>
                <w:bCs/>
                <w:sz w:val="24"/>
                <w:szCs w:val="24"/>
              </w:rPr>
            </w:pPr>
            <w:r w:rsidRPr="00745F3F">
              <w:rPr>
                <w:rFonts w:ascii="Times New Roman" w:hAnsi="Times New Roman" w:cs="Times New Roman"/>
                <w:b/>
                <w:bCs/>
                <w:sz w:val="24"/>
                <w:szCs w:val="24"/>
              </w:rPr>
              <w:t>1</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tcPr>
          <w:p w:rsidR="00AC471C" w:rsidRPr="00745F3F" w:rsidRDefault="00AC471C" w:rsidP="00944582">
            <w:pPr>
              <w:spacing w:after="0" w:line="240" w:lineRule="auto"/>
              <w:jc w:val="center"/>
              <w:rPr>
                <w:rFonts w:ascii="Times New Roman" w:hAnsi="Times New Roman" w:cs="Times New Roman"/>
                <w:b/>
                <w:bCs/>
                <w:sz w:val="24"/>
                <w:szCs w:val="24"/>
              </w:rPr>
            </w:pPr>
            <w:r w:rsidRPr="00745F3F">
              <w:rPr>
                <w:rFonts w:ascii="Times New Roman" w:hAnsi="Times New Roman" w:cs="Times New Roman"/>
                <w:b/>
                <w:bCs/>
                <w:sz w:val="24"/>
                <w:szCs w:val="24"/>
              </w:rPr>
              <w:t>Bezpečnost, stabilita a podpora reforem</w:t>
            </w:r>
          </w:p>
        </w:tc>
        <w:tc>
          <w:tcPr>
            <w:tcW w:w="6096" w:type="dxa"/>
            <w:tcBorders>
              <w:top w:val="nil"/>
              <w:left w:val="nil"/>
              <w:bottom w:val="single" w:sz="4" w:space="0" w:color="auto"/>
              <w:right w:val="single" w:sz="4" w:space="0" w:color="auto"/>
            </w:tcBorders>
            <w:shd w:val="clear" w:color="auto" w:fill="auto"/>
            <w:vAlign w:val="bottom"/>
          </w:tcPr>
          <w:p w:rsidR="00AC471C" w:rsidRPr="00745F3F" w:rsidRDefault="00AC471C" w:rsidP="00944582">
            <w:pPr>
              <w:spacing w:after="0" w:line="240" w:lineRule="auto"/>
              <w:rPr>
                <w:rFonts w:ascii="Times New Roman" w:hAnsi="Times New Roman" w:cs="Times New Roman"/>
                <w:bCs/>
                <w:sz w:val="24"/>
                <w:szCs w:val="24"/>
              </w:rPr>
            </w:pPr>
            <w:r w:rsidRPr="00745F3F">
              <w:rPr>
                <w:rFonts w:ascii="Times New Roman" w:hAnsi="Times New Roman" w:cs="Times New Roman"/>
                <w:bCs/>
                <w:sz w:val="24"/>
                <w:szCs w:val="24"/>
              </w:rPr>
              <w:t>1.1</w:t>
            </w:r>
            <w:r w:rsidRPr="00745F3F">
              <w:rPr>
                <w:rFonts w:ascii="Times New Roman" w:hAnsi="Times New Roman" w:cs="Times New Roman"/>
                <w:sz w:val="24"/>
                <w:szCs w:val="24"/>
              </w:rPr>
              <w:t> Ochrana a obnova nemovitého kulturního dědictví</w:t>
            </w:r>
          </w:p>
        </w:tc>
      </w:tr>
      <w:tr w:rsidR="00AC471C" w:rsidRPr="00745F3F" w:rsidTr="00944582">
        <w:trPr>
          <w:trHeight w:val="315"/>
        </w:trPr>
        <w:tc>
          <w:tcPr>
            <w:tcW w:w="460" w:type="dxa"/>
            <w:vMerge/>
            <w:tcBorders>
              <w:top w:val="nil"/>
              <w:left w:val="single" w:sz="4" w:space="0" w:color="auto"/>
              <w:bottom w:val="single" w:sz="4" w:space="0" w:color="auto"/>
              <w:right w:val="single" w:sz="4" w:space="0" w:color="auto"/>
            </w:tcBorders>
            <w:vAlign w:val="center"/>
          </w:tcPr>
          <w:p w:rsidR="00AC471C" w:rsidRPr="00745F3F" w:rsidRDefault="00AC471C" w:rsidP="00944582">
            <w:pPr>
              <w:spacing w:after="0" w:line="240" w:lineRule="auto"/>
              <w:rPr>
                <w:rFonts w:ascii="Times New Roman" w:hAnsi="Times New Roman" w:cs="Times New Roman"/>
                <w:b/>
                <w:bCs/>
                <w:sz w:val="24"/>
                <w:szCs w:val="24"/>
              </w:rPr>
            </w:pPr>
          </w:p>
        </w:tc>
        <w:tc>
          <w:tcPr>
            <w:tcW w:w="2390" w:type="dxa"/>
            <w:vMerge/>
            <w:tcBorders>
              <w:top w:val="nil"/>
              <w:left w:val="single" w:sz="4" w:space="0" w:color="auto"/>
              <w:bottom w:val="single" w:sz="4" w:space="0" w:color="auto"/>
              <w:right w:val="single" w:sz="4" w:space="0" w:color="auto"/>
            </w:tcBorders>
            <w:vAlign w:val="center"/>
          </w:tcPr>
          <w:p w:rsidR="00AC471C" w:rsidRPr="00745F3F" w:rsidRDefault="00AC471C" w:rsidP="00944582">
            <w:pPr>
              <w:spacing w:after="0" w:line="240" w:lineRule="auto"/>
              <w:rPr>
                <w:rFonts w:ascii="Times New Roman" w:hAnsi="Times New Roman" w:cs="Times New Roman"/>
                <w:b/>
                <w:bCs/>
                <w:sz w:val="24"/>
                <w:szCs w:val="24"/>
              </w:rPr>
            </w:pPr>
          </w:p>
        </w:tc>
        <w:tc>
          <w:tcPr>
            <w:tcW w:w="6096" w:type="dxa"/>
            <w:tcBorders>
              <w:top w:val="nil"/>
              <w:left w:val="nil"/>
              <w:bottom w:val="single" w:sz="4" w:space="0" w:color="auto"/>
              <w:right w:val="single" w:sz="4" w:space="0" w:color="auto"/>
            </w:tcBorders>
            <w:shd w:val="clear" w:color="auto" w:fill="auto"/>
            <w:vAlign w:val="bottom"/>
          </w:tcPr>
          <w:p w:rsidR="00AC471C" w:rsidRPr="00745F3F" w:rsidRDefault="00AC471C" w:rsidP="00944582">
            <w:pPr>
              <w:spacing w:after="0" w:line="240" w:lineRule="auto"/>
              <w:rPr>
                <w:rFonts w:ascii="Times New Roman" w:hAnsi="Times New Roman" w:cs="Times New Roman"/>
                <w:bCs/>
                <w:sz w:val="24"/>
                <w:szCs w:val="24"/>
              </w:rPr>
            </w:pPr>
            <w:r w:rsidRPr="00745F3F">
              <w:rPr>
                <w:rFonts w:ascii="Times New Roman" w:hAnsi="Times New Roman" w:cs="Times New Roman"/>
                <w:bCs/>
                <w:sz w:val="24"/>
                <w:szCs w:val="24"/>
              </w:rPr>
              <w:t>1.2</w:t>
            </w:r>
            <w:r w:rsidRPr="00745F3F">
              <w:rPr>
                <w:rFonts w:ascii="Times New Roman" w:hAnsi="Times New Roman" w:cs="Times New Roman"/>
                <w:sz w:val="24"/>
                <w:szCs w:val="24"/>
              </w:rPr>
              <w:t> Prevence a řízení katastrof</w:t>
            </w:r>
          </w:p>
        </w:tc>
      </w:tr>
      <w:tr w:rsidR="00AC471C" w:rsidRPr="00745F3F" w:rsidTr="00944582">
        <w:trPr>
          <w:trHeight w:val="315"/>
        </w:trPr>
        <w:tc>
          <w:tcPr>
            <w:tcW w:w="460" w:type="dxa"/>
            <w:vMerge/>
            <w:tcBorders>
              <w:top w:val="nil"/>
              <w:left w:val="single" w:sz="4" w:space="0" w:color="auto"/>
              <w:bottom w:val="single" w:sz="4" w:space="0" w:color="auto"/>
              <w:right w:val="single" w:sz="4" w:space="0" w:color="auto"/>
            </w:tcBorders>
            <w:vAlign w:val="center"/>
          </w:tcPr>
          <w:p w:rsidR="00AC471C" w:rsidRPr="00745F3F" w:rsidRDefault="00AC471C" w:rsidP="00944582">
            <w:pPr>
              <w:spacing w:after="0" w:line="240" w:lineRule="auto"/>
              <w:rPr>
                <w:rFonts w:ascii="Times New Roman" w:hAnsi="Times New Roman" w:cs="Times New Roman"/>
                <w:b/>
                <w:bCs/>
                <w:sz w:val="24"/>
                <w:szCs w:val="24"/>
              </w:rPr>
            </w:pPr>
          </w:p>
        </w:tc>
        <w:tc>
          <w:tcPr>
            <w:tcW w:w="2390" w:type="dxa"/>
            <w:vMerge/>
            <w:tcBorders>
              <w:top w:val="nil"/>
              <w:left w:val="single" w:sz="4" w:space="0" w:color="auto"/>
              <w:bottom w:val="single" w:sz="4" w:space="0" w:color="auto"/>
              <w:right w:val="single" w:sz="4" w:space="0" w:color="auto"/>
            </w:tcBorders>
            <w:vAlign w:val="center"/>
          </w:tcPr>
          <w:p w:rsidR="00AC471C" w:rsidRPr="00745F3F" w:rsidRDefault="00AC471C" w:rsidP="00944582">
            <w:pPr>
              <w:spacing w:after="0" w:line="240" w:lineRule="auto"/>
              <w:rPr>
                <w:rFonts w:ascii="Times New Roman" w:hAnsi="Times New Roman" w:cs="Times New Roman"/>
                <w:b/>
                <w:bCs/>
                <w:sz w:val="24"/>
                <w:szCs w:val="24"/>
              </w:rPr>
            </w:pPr>
          </w:p>
        </w:tc>
        <w:tc>
          <w:tcPr>
            <w:tcW w:w="6096" w:type="dxa"/>
            <w:tcBorders>
              <w:top w:val="nil"/>
              <w:left w:val="nil"/>
              <w:bottom w:val="single" w:sz="4" w:space="0" w:color="auto"/>
              <w:right w:val="single" w:sz="4" w:space="0" w:color="auto"/>
            </w:tcBorders>
            <w:shd w:val="clear" w:color="auto" w:fill="auto"/>
            <w:vAlign w:val="bottom"/>
          </w:tcPr>
          <w:p w:rsidR="00AC471C" w:rsidRPr="00745F3F" w:rsidRDefault="00AC471C" w:rsidP="00944582">
            <w:pPr>
              <w:spacing w:after="0" w:line="240" w:lineRule="auto"/>
              <w:rPr>
                <w:rFonts w:ascii="Times New Roman" w:hAnsi="Times New Roman" w:cs="Times New Roman"/>
                <w:bCs/>
                <w:sz w:val="24"/>
                <w:szCs w:val="24"/>
              </w:rPr>
            </w:pPr>
            <w:r w:rsidRPr="00745F3F">
              <w:rPr>
                <w:rFonts w:ascii="Times New Roman" w:hAnsi="Times New Roman" w:cs="Times New Roman"/>
                <w:bCs/>
                <w:sz w:val="24"/>
                <w:szCs w:val="24"/>
              </w:rPr>
              <w:t>1.3</w:t>
            </w:r>
            <w:r w:rsidRPr="00745F3F">
              <w:rPr>
                <w:rFonts w:ascii="Times New Roman" w:hAnsi="Times New Roman" w:cs="Times New Roman"/>
                <w:sz w:val="24"/>
                <w:szCs w:val="24"/>
              </w:rPr>
              <w:t> Modernizace soudnictví</w:t>
            </w:r>
          </w:p>
        </w:tc>
      </w:tr>
      <w:tr w:rsidR="00AC471C" w:rsidRPr="00745F3F" w:rsidTr="00944582">
        <w:trPr>
          <w:trHeight w:val="315"/>
        </w:trPr>
        <w:tc>
          <w:tcPr>
            <w:tcW w:w="460" w:type="dxa"/>
            <w:vMerge/>
            <w:tcBorders>
              <w:top w:val="nil"/>
              <w:left w:val="single" w:sz="4" w:space="0" w:color="auto"/>
              <w:bottom w:val="single" w:sz="4" w:space="0" w:color="auto"/>
              <w:right w:val="single" w:sz="4" w:space="0" w:color="auto"/>
            </w:tcBorders>
            <w:vAlign w:val="center"/>
          </w:tcPr>
          <w:p w:rsidR="00AC471C" w:rsidRPr="00745F3F" w:rsidRDefault="00AC471C" w:rsidP="00944582">
            <w:pPr>
              <w:spacing w:after="0" w:line="240" w:lineRule="auto"/>
              <w:rPr>
                <w:rFonts w:ascii="Times New Roman" w:hAnsi="Times New Roman" w:cs="Times New Roman"/>
                <w:b/>
                <w:bCs/>
                <w:sz w:val="24"/>
                <w:szCs w:val="24"/>
              </w:rPr>
            </w:pPr>
          </w:p>
        </w:tc>
        <w:tc>
          <w:tcPr>
            <w:tcW w:w="2390" w:type="dxa"/>
            <w:vMerge/>
            <w:tcBorders>
              <w:top w:val="nil"/>
              <w:left w:val="single" w:sz="4" w:space="0" w:color="auto"/>
              <w:bottom w:val="single" w:sz="4" w:space="0" w:color="auto"/>
              <w:right w:val="single" w:sz="4" w:space="0" w:color="auto"/>
            </w:tcBorders>
            <w:vAlign w:val="center"/>
          </w:tcPr>
          <w:p w:rsidR="00AC471C" w:rsidRPr="00745F3F" w:rsidRDefault="00AC471C" w:rsidP="00944582">
            <w:pPr>
              <w:spacing w:after="0" w:line="240" w:lineRule="auto"/>
              <w:rPr>
                <w:rFonts w:ascii="Times New Roman" w:hAnsi="Times New Roman" w:cs="Times New Roman"/>
                <w:b/>
                <w:bCs/>
                <w:sz w:val="24"/>
                <w:szCs w:val="24"/>
              </w:rPr>
            </w:pPr>
          </w:p>
        </w:tc>
        <w:tc>
          <w:tcPr>
            <w:tcW w:w="6096" w:type="dxa"/>
            <w:tcBorders>
              <w:top w:val="nil"/>
              <w:left w:val="nil"/>
              <w:bottom w:val="single" w:sz="4" w:space="0" w:color="auto"/>
              <w:right w:val="single" w:sz="4" w:space="0" w:color="auto"/>
            </w:tcBorders>
            <w:shd w:val="clear" w:color="auto" w:fill="auto"/>
            <w:vAlign w:val="bottom"/>
          </w:tcPr>
          <w:p w:rsidR="00AC471C" w:rsidRPr="00745F3F" w:rsidRDefault="00AC471C" w:rsidP="00944582">
            <w:pPr>
              <w:spacing w:after="0" w:line="240" w:lineRule="auto"/>
              <w:rPr>
                <w:rFonts w:ascii="Times New Roman" w:hAnsi="Times New Roman" w:cs="Times New Roman"/>
                <w:bCs/>
                <w:sz w:val="24"/>
                <w:szCs w:val="24"/>
              </w:rPr>
            </w:pPr>
            <w:r w:rsidRPr="00745F3F">
              <w:rPr>
                <w:rFonts w:ascii="Times New Roman" w:hAnsi="Times New Roman" w:cs="Times New Roman"/>
                <w:bCs/>
                <w:sz w:val="24"/>
                <w:szCs w:val="24"/>
              </w:rPr>
              <w:t xml:space="preserve">1.4 </w:t>
            </w:r>
            <w:r w:rsidRPr="00745F3F">
              <w:rPr>
                <w:rFonts w:ascii="Times New Roman" w:hAnsi="Times New Roman" w:cs="Times New Roman"/>
                <w:sz w:val="24"/>
                <w:szCs w:val="24"/>
              </w:rPr>
              <w:t>Boj proti korupci a organizovanému zločinu</w:t>
            </w:r>
          </w:p>
        </w:tc>
      </w:tr>
      <w:tr w:rsidR="00AC471C" w:rsidRPr="00745F3F" w:rsidTr="00944582">
        <w:trPr>
          <w:trHeight w:val="315"/>
        </w:trPr>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AC471C" w:rsidRPr="00745F3F" w:rsidRDefault="00AC471C" w:rsidP="00944582">
            <w:pPr>
              <w:spacing w:after="0" w:line="240" w:lineRule="auto"/>
              <w:jc w:val="center"/>
              <w:rPr>
                <w:rFonts w:ascii="Times New Roman" w:hAnsi="Times New Roman" w:cs="Times New Roman"/>
                <w:b/>
                <w:bCs/>
                <w:sz w:val="24"/>
                <w:szCs w:val="24"/>
              </w:rPr>
            </w:pPr>
            <w:r w:rsidRPr="00745F3F">
              <w:rPr>
                <w:rFonts w:ascii="Times New Roman" w:hAnsi="Times New Roman" w:cs="Times New Roman"/>
                <w:b/>
                <w:bCs/>
                <w:sz w:val="24"/>
                <w:szCs w:val="24"/>
              </w:rPr>
              <w:t>2</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tcPr>
          <w:p w:rsidR="00AC471C" w:rsidRPr="00745F3F" w:rsidRDefault="00AC471C" w:rsidP="00944582">
            <w:pPr>
              <w:spacing w:after="0" w:line="240" w:lineRule="auto"/>
              <w:jc w:val="center"/>
              <w:rPr>
                <w:rFonts w:ascii="Times New Roman" w:hAnsi="Times New Roman" w:cs="Times New Roman"/>
                <w:b/>
                <w:bCs/>
                <w:sz w:val="24"/>
                <w:szCs w:val="24"/>
              </w:rPr>
            </w:pPr>
            <w:r w:rsidRPr="00745F3F">
              <w:rPr>
                <w:rFonts w:ascii="Times New Roman" w:hAnsi="Times New Roman" w:cs="Times New Roman"/>
                <w:b/>
                <w:bCs/>
                <w:sz w:val="24"/>
                <w:szCs w:val="24"/>
              </w:rPr>
              <w:t>Životní prostředí a infrastruktura</w:t>
            </w:r>
          </w:p>
        </w:tc>
        <w:tc>
          <w:tcPr>
            <w:tcW w:w="6096" w:type="dxa"/>
            <w:tcBorders>
              <w:top w:val="nil"/>
              <w:left w:val="nil"/>
              <w:bottom w:val="single" w:sz="4" w:space="0" w:color="auto"/>
              <w:right w:val="single" w:sz="4" w:space="0" w:color="auto"/>
            </w:tcBorders>
            <w:shd w:val="clear" w:color="auto" w:fill="auto"/>
            <w:vAlign w:val="bottom"/>
          </w:tcPr>
          <w:p w:rsidR="00AC471C" w:rsidRPr="00745F3F" w:rsidRDefault="00AC471C" w:rsidP="00944582">
            <w:pPr>
              <w:spacing w:after="0" w:line="240" w:lineRule="auto"/>
              <w:rPr>
                <w:rFonts w:ascii="Times New Roman" w:hAnsi="Times New Roman" w:cs="Times New Roman"/>
                <w:bCs/>
                <w:sz w:val="24"/>
                <w:szCs w:val="24"/>
              </w:rPr>
            </w:pPr>
            <w:r w:rsidRPr="00745F3F">
              <w:rPr>
                <w:rFonts w:ascii="Times New Roman" w:hAnsi="Times New Roman" w:cs="Times New Roman"/>
                <w:bCs/>
                <w:sz w:val="24"/>
                <w:szCs w:val="24"/>
              </w:rPr>
              <w:t>2.1</w:t>
            </w:r>
            <w:r w:rsidRPr="00745F3F">
              <w:rPr>
                <w:rFonts w:ascii="Times New Roman" w:hAnsi="Times New Roman" w:cs="Times New Roman"/>
                <w:sz w:val="24"/>
                <w:szCs w:val="24"/>
              </w:rPr>
              <w:t> Obnova a modernizace základní infrastruktury a zlepšení životního prostředí</w:t>
            </w:r>
          </w:p>
        </w:tc>
      </w:tr>
      <w:tr w:rsidR="00AC471C" w:rsidRPr="00745F3F" w:rsidTr="00944582">
        <w:trPr>
          <w:trHeight w:val="315"/>
        </w:trPr>
        <w:tc>
          <w:tcPr>
            <w:tcW w:w="460" w:type="dxa"/>
            <w:vMerge/>
            <w:tcBorders>
              <w:top w:val="nil"/>
              <w:left w:val="single" w:sz="4" w:space="0" w:color="auto"/>
              <w:bottom w:val="single" w:sz="4" w:space="0" w:color="auto"/>
              <w:right w:val="single" w:sz="4" w:space="0" w:color="auto"/>
            </w:tcBorders>
            <w:vAlign w:val="center"/>
          </w:tcPr>
          <w:p w:rsidR="00AC471C" w:rsidRPr="00745F3F" w:rsidRDefault="00AC471C" w:rsidP="00944582">
            <w:pPr>
              <w:spacing w:after="0" w:line="240" w:lineRule="auto"/>
              <w:rPr>
                <w:rFonts w:ascii="Times New Roman" w:hAnsi="Times New Roman" w:cs="Times New Roman"/>
                <w:b/>
                <w:bCs/>
                <w:sz w:val="24"/>
                <w:szCs w:val="24"/>
              </w:rPr>
            </w:pPr>
          </w:p>
        </w:tc>
        <w:tc>
          <w:tcPr>
            <w:tcW w:w="2390" w:type="dxa"/>
            <w:vMerge/>
            <w:tcBorders>
              <w:top w:val="nil"/>
              <w:left w:val="single" w:sz="4" w:space="0" w:color="auto"/>
              <w:bottom w:val="single" w:sz="4" w:space="0" w:color="auto"/>
              <w:right w:val="single" w:sz="4" w:space="0" w:color="auto"/>
            </w:tcBorders>
            <w:vAlign w:val="center"/>
          </w:tcPr>
          <w:p w:rsidR="00AC471C" w:rsidRPr="00745F3F" w:rsidRDefault="00AC471C" w:rsidP="00944582">
            <w:pPr>
              <w:spacing w:after="0" w:line="240" w:lineRule="auto"/>
              <w:rPr>
                <w:rFonts w:ascii="Times New Roman" w:hAnsi="Times New Roman" w:cs="Times New Roman"/>
                <w:b/>
                <w:bCs/>
                <w:sz w:val="24"/>
                <w:szCs w:val="24"/>
              </w:rPr>
            </w:pPr>
          </w:p>
        </w:tc>
        <w:tc>
          <w:tcPr>
            <w:tcW w:w="6096" w:type="dxa"/>
            <w:tcBorders>
              <w:top w:val="nil"/>
              <w:left w:val="nil"/>
              <w:bottom w:val="single" w:sz="4" w:space="0" w:color="auto"/>
              <w:right w:val="single" w:sz="4" w:space="0" w:color="auto"/>
            </w:tcBorders>
            <w:shd w:val="clear" w:color="auto" w:fill="auto"/>
            <w:vAlign w:val="bottom"/>
          </w:tcPr>
          <w:p w:rsidR="00AC471C" w:rsidRPr="00745F3F" w:rsidRDefault="00AC471C" w:rsidP="00944582">
            <w:pPr>
              <w:spacing w:after="0" w:line="240" w:lineRule="auto"/>
              <w:rPr>
                <w:rFonts w:ascii="Times New Roman" w:hAnsi="Times New Roman" w:cs="Times New Roman"/>
                <w:bCs/>
                <w:sz w:val="24"/>
                <w:szCs w:val="24"/>
              </w:rPr>
            </w:pPr>
            <w:r w:rsidRPr="00745F3F">
              <w:rPr>
                <w:rFonts w:ascii="Times New Roman" w:hAnsi="Times New Roman" w:cs="Times New Roman"/>
                <w:bCs/>
                <w:sz w:val="24"/>
                <w:szCs w:val="24"/>
              </w:rPr>
              <w:t>2.2</w:t>
            </w:r>
            <w:r w:rsidRPr="00745F3F">
              <w:rPr>
                <w:rFonts w:ascii="Times New Roman" w:hAnsi="Times New Roman" w:cs="Times New Roman"/>
                <w:sz w:val="24"/>
                <w:szCs w:val="24"/>
              </w:rPr>
              <w:t> Fond environmentální expertízy</w:t>
            </w:r>
          </w:p>
        </w:tc>
      </w:tr>
      <w:tr w:rsidR="00AC471C" w:rsidRPr="00745F3F" w:rsidTr="00944582">
        <w:trPr>
          <w:trHeight w:val="315"/>
        </w:trPr>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AC471C" w:rsidRPr="00745F3F" w:rsidRDefault="00AC471C" w:rsidP="00944582">
            <w:pPr>
              <w:spacing w:after="0" w:line="240" w:lineRule="auto"/>
              <w:jc w:val="center"/>
              <w:rPr>
                <w:rFonts w:ascii="Times New Roman" w:hAnsi="Times New Roman" w:cs="Times New Roman"/>
                <w:b/>
                <w:bCs/>
                <w:sz w:val="24"/>
                <w:szCs w:val="24"/>
              </w:rPr>
            </w:pPr>
            <w:r w:rsidRPr="00745F3F">
              <w:rPr>
                <w:rFonts w:ascii="Times New Roman" w:hAnsi="Times New Roman" w:cs="Times New Roman"/>
                <w:b/>
                <w:bCs/>
                <w:sz w:val="24"/>
                <w:szCs w:val="24"/>
              </w:rPr>
              <w:t>3</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tcPr>
          <w:p w:rsidR="00AC471C" w:rsidRPr="00745F3F" w:rsidRDefault="00AC471C" w:rsidP="00944582">
            <w:pPr>
              <w:spacing w:after="0" w:line="240" w:lineRule="auto"/>
              <w:jc w:val="center"/>
              <w:rPr>
                <w:rFonts w:ascii="Times New Roman" w:hAnsi="Times New Roman" w:cs="Times New Roman"/>
                <w:b/>
                <w:bCs/>
                <w:sz w:val="24"/>
                <w:szCs w:val="24"/>
              </w:rPr>
            </w:pPr>
            <w:r w:rsidRPr="00745F3F">
              <w:rPr>
                <w:rFonts w:ascii="Times New Roman" w:hAnsi="Times New Roman" w:cs="Times New Roman"/>
                <w:b/>
                <w:bCs/>
                <w:sz w:val="24"/>
                <w:szCs w:val="24"/>
              </w:rPr>
              <w:t>Podpora soukromého sektoru</w:t>
            </w:r>
          </w:p>
        </w:tc>
        <w:tc>
          <w:tcPr>
            <w:tcW w:w="6096" w:type="dxa"/>
            <w:tcBorders>
              <w:top w:val="nil"/>
              <w:left w:val="nil"/>
              <w:bottom w:val="single" w:sz="4" w:space="0" w:color="auto"/>
              <w:right w:val="single" w:sz="4" w:space="0" w:color="auto"/>
            </w:tcBorders>
            <w:shd w:val="clear" w:color="auto" w:fill="auto"/>
            <w:vAlign w:val="bottom"/>
          </w:tcPr>
          <w:p w:rsidR="00AC471C" w:rsidRPr="00745F3F" w:rsidRDefault="00AC471C" w:rsidP="00944582">
            <w:pPr>
              <w:spacing w:after="0" w:line="240" w:lineRule="auto"/>
              <w:rPr>
                <w:rFonts w:ascii="Times New Roman" w:hAnsi="Times New Roman" w:cs="Times New Roman"/>
                <w:bCs/>
                <w:sz w:val="24"/>
                <w:szCs w:val="24"/>
              </w:rPr>
            </w:pPr>
            <w:r w:rsidRPr="00745F3F">
              <w:rPr>
                <w:rFonts w:ascii="Times New Roman" w:hAnsi="Times New Roman" w:cs="Times New Roman"/>
                <w:bCs/>
                <w:sz w:val="24"/>
                <w:szCs w:val="24"/>
              </w:rPr>
              <w:t>3.1</w:t>
            </w:r>
            <w:r w:rsidRPr="00745F3F">
              <w:rPr>
                <w:rFonts w:ascii="Times New Roman" w:hAnsi="Times New Roman" w:cs="Times New Roman"/>
                <w:sz w:val="24"/>
                <w:szCs w:val="24"/>
              </w:rPr>
              <w:t> Zlepšení regulace ve finančním sektoru</w:t>
            </w:r>
          </w:p>
        </w:tc>
      </w:tr>
      <w:tr w:rsidR="00AC471C" w:rsidRPr="00745F3F" w:rsidTr="00944582">
        <w:trPr>
          <w:trHeight w:val="315"/>
        </w:trPr>
        <w:tc>
          <w:tcPr>
            <w:tcW w:w="460" w:type="dxa"/>
            <w:vMerge/>
            <w:tcBorders>
              <w:top w:val="nil"/>
              <w:left w:val="single" w:sz="4" w:space="0" w:color="auto"/>
              <w:bottom w:val="single" w:sz="4" w:space="0" w:color="auto"/>
              <w:right w:val="single" w:sz="4" w:space="0" w:color="auto"/>
            </w:tcBorders>
            <w:vAlign w:val="center"/>
          </w:tcPr>
          <w:p w:rsidR="00AC471C" w:rsidRPr="00745F3F" w:rsidRDefault="00AC471C" w:rsidP="00944582">
            <w:pPr>
              <w:spacing w:after="0" w:line="240" w:lineRule="auto"/>
              <w:rPr>
                <w:rFonts w:ascii="Times New Roman" w:hAnsi="Times New Roman" w:cs="Times New Roman"/>
                <w:b/>
                <w:bCs/>
                <w:sz w:val="24"/>
                <w:szCs w:val="24"/>
              </w:rPr>
            </w:pPr>
          </w:p>
        </w:tc>
        <w:tc>
          <w:tcPr>
            <w:tcW w:w="2390" w:type="dxa"/>
            <w:vMerge/>
            <w:tcBorders>
              <w:top w:val="nil"/>
              <w:left w:val="single" w:sz="4" w:space="0" w:color="auto"/>
              <w:bottom w:val="single" w:sz="4" w:space="0" w:color="auto"/>
              <w:right w:val="single" w:sz="4" w:space="0" w:color="auto"/>
            </w:tcBorders>
            <w:vAlign w:val="center"/>
          </w:tcPr>
          <w:p w:rsidR="00AC471C" w:rsidRPr="00745F3F" w:rsidRDefault="00AC471C" w:rsidP="00944582">
            <w:pPr>
              <w:spacing w:after="0" w:line="240" w:lineRule="auto"/>
              <w:rPr>
                <w:rFonts w:ascii="Times New Roman" w:hAnsi="Times New Roman" w:cs="Times New Roman"/>
                <w:b/>
                <w:bCs/>
                <w:sz w:val="24"/>
                <w:szCs w:val="24"/>
              </w:rPr>
            </w:pPr>
          </w:p>
        </w:tc>
        <w:tc>
          <w:tcPr>
            <w:tcW w:w="6096" w:type="dxa"/>
            <w:tcBorders>
              <w:top w:val="nil"/>
              <w:left w:val="nil"/>
              <w:bottom w:val="single" w:sz="4" w:space="0" w:color="auto"/>
              <w:right w:val="single" w:sz="4" w:space="0" w:color="auto"/>
            </w:tcBorders>
            <w:shd w:val="clear" w:color="auto" w:fill="auto"/>
            <w:vAlign w:val="bottom"/>
          </w:tcPr>
          <w:p w:rsidR="00AC471C" w:rsidRPr="00745F3F" w:rsidRDefault="00AC471C" w:rsidP="00944582">
            <w:pPr>
              <w:spacing w:after="0" w:line="240" w:lineRule="auto"/>
              <w:rPr>
                <w:rFonts w:ascii="Times New Roman" w:hAnsi="Times New Roman" w:cs="Times New Roman"/>
                <w:bCs/>
                <w:sz w:val="24"/>
                <w:szCs w:val="24"/>
              </w:rPr>
            </w:pPr>
            <w:r w:rsidRPr="00745F3F">
              <w:rPr>
                <w:rFonts w:ascii="Times New Roman" w:hAnsi="Times New Roman" w:cs="Times New Roman"/>
                <w:bCs/>
                <w:sz w:val="24"/>
                <w:szCs w:val="24"/>
              </w:rPr>
              <w:t>3.2</w:t>
            </w:r>
            <w:r w:rsidRPr="00745F3F">
              <w:rPr>
                <w:rFonts w:ascii="Times New Roman" w:hAnsi="Times New Roman" w:cs="Times New Roman"/>
                <w:sz w:val="24"/>
                <w:szCs w:val="24"/>
              </w:rPr>
              <w:t> Přístup SMEs k finančním zdrojům</w:t>
            </w:r>
          </w:p>
        </w:tc>
      </w:tr>
      <w:tr w:rsidR="00AC471C" w:rsidRPr="00745F3F" w:rsidTr="00944582">
        <w:trPr>
          <w:trHeight w:val="315"/>
        </w:trPr>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AC471C" w:rsidRPr="00745F3F" w:rsidRDefault="00AC471C" w:rsidP="00944582">
            <w:pPr>
              <w:spacing w:after="0" w:line="240" w:lineRule="auto"/>
              <w:jc w:val="center"/>
              <w:rPr>
                <w:rFonts w:ascii="Times New Roman" w:hAnsi="Times New Roman" w:cs="Times New Roman"/>
                <w:b/>
                <w:bCs/>
                <w:sz w:val="24"/>
                <w:szCs w:val="24"/>
              </w:rPr>
            </w:pPr>
            <w:r w:rsidRPr="00745F3F">
              <w:rPr>
                <w:rFonts w:ascii="Times New Roman" w:hAnsi="Times New Roman" w:cs="Times New Roman"/>
                <w:b/>
                <w:bCs/>
                <w:sz w:val="24"/>
                <w:szCs w:val="24"/>
              </w:rPr>
              <w:t>4</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tcPr>
          <w:p w:rsidR="00AC471C" w:rsidRPr="00745F3F" w:rsidRDefault="00AC471C" w:rsidP="00944582">
            <w:pPr>
              <w:spacing w:after="0" w:line="240" w:lineRule="auto"/>
              <w:jc w:val="center"/>
              <w:rPr>
                <w:rFonts w:ascii="Times New Roman" w:hAnsi="Times New Roman" w:cs="Times New Roman"/>
                <w:b/>
                <w:bCs/>
                <w:sz w:val="24"/>
                <w:szCs w:val="24"/>
              </w:rPr>
            </w:pPr>
            <w:r w:rsidRPr="00745F3F">
              <w:rPr>
                <w:rFonts w:ascii="Times New Roman" w:hAnsi="Times New Roman" w:cs="Times New Roman"/>
                <w:b/>
                <w:bCs/>
                <w:sz w:val="24"/>
                <w:szCs w:val="24"/>
              </w:rPr>
              <w:t>Rozvoj lidských zdrojů a sociální rozvoj</w:t>
            </w:r>
          </w:p>
        </w:tc>
        <w:tc>
          <w:tcPr>
            <w:tcW w:w="6096" w:type="dxa"/>
            <w:tcBorders>
              <w:top w:val="nil"/>
              <w:left w:val="nil"/>
              <w:bottom w:val="single" w:sz="4" w:space="0" w:color="auto"/>
              <w:right w:val="single" w:sz="4" w:space="0" w:color="auto"/>
            </w:tcBorders>
            <w:shd w:val="clear" w:color="auto" w:fill="auto"/>
            <w:vAlign w:val="bottom"/>
          </w:tcPr>
          <w:p w:rsidR="00AC471C" w:rsidRPr="00745F3F" w:rsidRDefault="00AC471C" w:rsidP="00944582">
            <w:pPr>
              <w:spacing w:after="0" w:line="240" w:lineRule="auto"/>
              <w:rPr>
                <w:rFonts w:ascii="Times New Roman" w:hAnsi="Times New Roman" w:cs="Times New Roman"/>
                <w:bCs/>
                <w:sz w:val="24"/>
                <w:szCs w:val="24"/>
              </w:rPr>
            </w:pPr>
            <w:r w:rsidRPr="00745F3F">
              <w:rPr>
                <w:rFonts w:ascii="Times New Roman" w:hAnsi="Times New Roman" w:cs="Times New Roman"/>
                <w:bCs/>
                <w:sz w:val="24"/>
                <w:szCs w:val="24"/>
              </w:rPr>
              <w:t>4.1</w:t>
            </w:r>
            <w:r w:rsidRPr="00745F3F">
              <w:rPr>
                <w:rFonts w:ascii="Times New Roman" w:hAnsi="Times New Roman" w:cs="Times New Roman"/>
                <w:sz w:val="24"/>
                <w:szCs w:val="24"/>
              </w:rPr>
              <w:t> Fond na stipendia</w:t>
            </w:r>
          </w:p>
        </w:tc>
      </w:tr>
      <w:tr w:rsidR="00AC471C" w:rsidRPr="00745F3F" w:rsidTr="00944582">
        <w:trPr>
          <w:trHeight w:val="315"/>
        </w:trPr>
        <w:tc>
          <w:tcPr>
            <w:tcW w:w="460" w:type="dxa"/>
            <w:vMerge/>
            <w:tcBorders>
              <w:top w:val="nil"/>
              <w:left w:val="single" w:sz="4" w:space="0" w:color="auto"/>
              <w:bottom w:val="single" w:sz="4" w:space="0" w:color="auto"/>
              <w:right w:val="single" w:sz="4" w:space="0" w:color="auto"/>
            </w:tcBorders>
            <w:vAlign w:val="center"/>
          </w:tcPr>
          <w:p w:rsidR="00AC471C" w:rsidRPr="00745F3F" w:rsidRDefault="00AC471C" w:rsidP="00944582">
            <w:pPr>
              <w:spacing w:after="0" w:line="240" w:lineRule="auto"/>
              <w:rPr>
                <w:rFonts w:ascii="Times New Roman" w:hAnsi="Times New Roman" w:cs="Times New Roman"/>
                <w:b/>
                <w:bCs/>
                <w:sz w:val="24"/>
                <w:szCs w:val="24"/>
              </w:rPr>
            </w:pPr>
          </w:p>
        </w:tc>
        <w:tc>
          <w:tcPr>
            <w:tcW w:w="2390" w:type="dxa"/>
            <w:vMerge/>
            <w:tcBorders>
              <w:top w:val="nil"/>
              <w:left w:val="single" w:sz="4" w:space="0" w:color="auto"/>
              <w:bottom w:val="single" w:sz="4" w:space="0" w:color="auto"/>
              <w:right w:val="single" w:sz="4" w:space="0" w:color="auto"/>
            </w:tcBorders>
            <w:vAlign w:val="center"/>
          </w:tcPr>
          <w:p w:rsidR="00AC471C" w:rsidRPr="00745F3F" w:rsidRDefault="00AC471C" w:rsidP="00944582">
            <w:pPr>
              <w:spacing w:after="0" w:line="240" w:lineRule="auto"/>
              <w:rPr>
                <w:rFonts w:ascii="Times New Roman" w:hAnsi="Times New Roman" w:cs="Times New Roman"/>
                <w:b/>
                <w:bCs/>
                <w:sz w:val="24"/>
                <w:szCs w:val="24"/>
              </w:rPr>
            </w:pPr>
          </w:p>
        </w:tc>
        <w:tc>
          <w:tcPr>
            <w:tcW w:w="6096" w:type="dxa"/>
            <w:tcBorders>
              <w:top w:val="nil"/>
              <w:left w:val="nil"/>
              <w:bottom w:val="single" w:sz="4" w:space="0" w:color="auto"/>
              <w:right w:val="single" w:sz="4" w:space="0" w:color="auto"/>
            </w:tcBorders>
            <w:shd w:val="clear" w:color="auto" w:fill="auto"/>
            <w:vAlign w:val="bottom"/>
          </w:tcPr>
          <w:p w:rsidR="00AC471C" w:rsidRPr="00745F3F" w:rsidRDefault="00AC471C" w:rsidP="00944582">
            <w:pPr>
              <w:spacing w:after="0" w:line="240" w:lineRule="auto"/>
              <w:rPr>
                <w:rFonts w:ascii="Times New Roman" w:hAnsi="Times New Roman" w:cs="Times New Roman"/>
                <w:bCs/>
                <w:sz w:val="24"/>
                <w:szCs w:val="24"/>
              </w:rPr>
            </w:pPr>
            <w:r w:rsidRPr="00745F3F">
              <w:rPr>
                <w:rFonts w:ascii="Times New Roman" w:hAnsi="Times New Roman" w:cs="Times New Roman"/>
                <w:bCs/>
                <w:sz w:val="24"/>
                <w:szCs w:val="24"/>
              </w:rPr>
              <w:t>4.2</w:t>
            </w:r>
            <w:r w:rsidRPr="00745F3F">
              <w:rPr>
                <w:rFonts w:ascii="Times New Roman" w:hAnsi="Times New Roman" w:cs="Times New Roman"/>
                <w:sz w:val="24"/>
                <w:szCs w:val="24"/>
              </w:rPr>
              <w:t> Zdraví</w:t>
            </w:r>
          </w:p>
        </w:tc>
      </w:tr>
    </w:tbl>
    <w:p w:rsidR="00AC471C" w:rsidRPr="00745F3F" w:rsidRDefault="00AC471C" w:rsidP="00AC471C">
      <w:pPr>
        <w:spacing w:after="0" w:line="240" w:lineRule="auto"/>
        <w:rPr>
          <w:rFonts w:ascii="Times New Roman" w:hAnsi="Times New Roman" w:cs="Times New Roman"/>
          <w:sz w:val="24"/>
          <w:szCs w:val="24"/>
        </w:rPr>
      </w:pPr>
    </w:p>
    <w:p w:rsidR="00AC471C" w:rsidRPr="00745F3F" w:rsidRDefault="00AC471C" w:rsidP="00AC471C">
      <w:pPr>
        <w:spacing w:after="0" w:line="240" w:lineRule="auto"/>
        <w:rPr>
          <w:rFonts w:ascii="Times New Roman" w:hAnsi="Times New Roman" w:cs="Times New Roman"/>
          <w:sz w:val="24"/>
          <w:szCs w:val="24"/>
        </w:rPr>
      </w:pPr>
    </w:p>
    <w:p w:rsidR="00AC471C" w:rsidRPr="00745F3F" w:rsidRDefault="00AC471C" w:rsidP="00AC471C">
      <w:pPr>
        <w:rPr>
          <w:rFonts w:ascii="Times New Roman" w:hAnsi="Times New Roman" w:cs="Times New Roman"/>
          <w:sz w:val="24"/>
          <w:szCs w:val="24"/>
        </w:rPr>
      </w:pPr>
    </w:p>
    <w:p w:rsidR="00AC471C" w:rsidRPr="00745F3F" w:rsidRDefault="00AC471C" w:rsidP="00AC471C">
      <w:pPr>
        <w:rPr>
          <w:rFonts w:ascii="Times New Roman" w:hAnsi="Times New Roman" w:cs="Times New Roman"/>
          <w:sz w:val="24"/>
          <w:szCs w:val="24"/>
        </w:rPr>
      </w:pPr>
    </w:p>
    <w:p w:rsidR="00AC471C" w:rsidRPr="00745F3F" w:rsidRDefault="00AC471C" w:rsidP="00AC471C">
      <w:pPr>
        <w:rPr>
          <w:rFonts w:ascii="Times New Roman" w:hAnsi="Times New Roman" w:cs="Times New Roman"/>
          <w:sz w:val="24"/>
          <w:szCs w:val="24"/>
        </w:rPr>
        <w:sectPr w:rsidR="00AC471C" w:rsidRPr="00745F3F" w:rsidSect="00CF258E">
          <w:pgSz w:w="11906" w:h="16838"/>
          <w:pgMar w:top="1418" w:right="1418" w:bottom="1418" w:left="1418" w:header="709" w:footer="709" w:gutter="0"/>
          <w:cols w:space="708"/>
          <w:docGrid w:linePitch="360"/>
        </w:sectPr>
      </w:pPr>
    </w:p>
    <w:p w:rsidR="00AC471C" w:rsidRPr="00745F3F" w:rsidRDefault="00AC471C" w:rsidP="00AC471C">
      <w:pPr>
        <w:autoSpaceDE w:val="0"/>
        <w:autoSpaceDN w:val="0"/>
        <w:adjustRightInd w:val="0"/>
        <w:rPr>
          <w:rFonts w:ascii="Times New Roman" w:hAnsi="Times New Roman" w:cs="Times New Roman"/>
          <w:b/>
          <w:sz w:val="24"/>
          <w:szCs w:val="24"/>
        </w:rPr>
      </w:pPr>
      <w:r w:rsidRPr="00745F3F">
        <w:rPr>
          <w:rFonts w:ascii="Times New Roman" w:hAnsi="Times New Roman" w:cs="Times New Roman"/>
          <w:b/>
          <w:sz w:val="24"/>
          <w:szCs w:val="24"/>
        </w:rPr>
        <w:lastRenderedPageBreak/>
        <w:t>Blokové granty:</w:t>
      </w:r>
    </w:p>
    <w:p w:rsidR="00AC471C" w:rsidRPr="00745F3F" w:rsidRDefault="00AC471C" w:rsidP="00AC471C">
      <w:pPr>
        <w:numPr>
          <w:ilvl w:val="0"/>
          <w:numId w:val="6"/>
        </w:numPr>
        <w:autoSpaceDE w:val="0"/>
        <w:autoSpaceDN w:val="0"/>
        <w:adjustRightInd w:val="0"/>
        <w:spacing w:after="0" w:line="240" w:lineRule="auto"/>
        <w:jc w:val="both"/>
        <w:rPr>
          <w:rFonts w:ascii="Times New Roman" w:hAnsi="Times New Roman" w:cs="Times New Roman"/>
          <w:bCs/>
          <w:sz w:val="24"/>
          <w:szCs w:val="24"/>
        </w:rPr>
      </w:pPr>
      <w:r w:rsidRPr="00745F3F">
        <w:rPr>
          <w:rFonts w:ascii="Times New Roman" w:hAnsi="Times New Roman" w:cs="Times New Roman"/>
          <w:b/>
          <w:bCs/>
          <w:sz w:val="24"/>
          <w:szCs w:val="24"/>
        </w:rPr>
        <w:t xml:space="preserve">Fond pro nevládní neziskové organizace </w:t>
      </w:r>
      <w:r w:rsidRPr="00745F3F">
        <w:rPr>
          <w:rFonts w:ascii="Times New Roman" w:hAnsi="Times New Roman" w:cs="Times New Roman"/>
          <w:bCs/>
          <w:sz w:val="24"/>
          <w:szCs w:val="24"/>
        </w:rPr>
        <w:t>- zaměření na sociální služby, životní prostředí</w:t>
      </w:r>
    </w:p>
    <w:p w:rsidR="00AC471C" w:rsidRPr="00745F3F" w:rsidRDefault="00AC471C" w:rsidP="00AC471C">
      <w:pPr>
        <w:numPr>
          <w:ilvl w:val="0"/>
          <w:numId w:val="6"/>
        </w:numPr>
        <w:autoSpaceDE w:val="0"/>
        <w:autoSpaceDN w:val="0"/>
        <w:adjustRightInd w:val="0"/>
        <w:spacing w:after="0" w:line="240" w:lineRule="auto"/>
        <w:jc w:val="both"/>
        <w:rPr>
          <w:rFonts w:ascii="Times New Roman" w:hAnsi="Times New Roman" w:cs="Times New Roman"/>
          <w:bCs/>
          <w:sz w:val="24"/>
          <w:szCs w:val="24"/>
        </w:rPr>
      </w:pPr>
      <w:r w:rsidRPr="00745F3F">
        <w:rPr>
          <w:rFonts w:ascii="Times New Roman" w:hAnsi="Times New Roman" w:cs="Times New Roman"/>
          <w:b/>
          <w:bCs/>
          <w:sz w:val="24"/>
          <w:szCs w:val="24"/>
        </w:rPr>
        <w:t xml:space="preserve">Fond na přípravu projektů </w:t>
      </w:r>
      <w:r w:rsidRPr="00745F3F">
        <w:rPr>
          <w:rFonts w:ascii="Times New Roman" w:hAnsi="Times New Roman" w:cs="Times New Roman"/>
          <w:bCs/>
          <w:sz w:val="24"/>
          <w:szCs w:val="24"/>
        </w:rPr>
        <w:t>– pomoc v přípravě konečných návrhů projektů pro projektové záměry odsouhlasené švýcarskou stranou</w:t>
      </w:r>
    </w:p>
    <w:p w:rsidR="00AC471C" w:rsidRPr="00745F3F" w:rsidRDefault="00AC471C" w:rsidP="00AC471C">
      <w:pPr>
        <w:numPr>
          <w:ilvl w:val="0"/>
          <w:numId w:val="6"/>
        </w:numPr>
        <w:autoSpaceDE w:val="0"/>
        <w:autoSpaceDN w:val="0"/>
        <w:adjustRightInd w:val="0"/>
        <w:spacing w:after="0" w:line="240" w:lineRule="auto"/>
        <w:rPr>
          <w:rFonts w:ascii="Times New Roman" w:hAnsi="Times New Roman" w:cs="Times New Roman"/>
          <w:sz w:val="24"/>
          <w:szCs w:val="24"/>
        </w:rPr>
      </w:pPr>
      <w:r w:rsidRPr="00745F3F">
        <w:rPr>
          <w:rFonts w:ascii="Times New Roman" w:hAnsi="Times New Roman" w:cs="Times New Roman"/>
          <w:b/>
          <w:bCs/>
          <w:sz w:val="24"/>
          <w:szCs w:val="24"/>
        </w:rPr>
        <w:t xml:space="preserve">Fond partnerství </w:t>
      </w:r>
      <w:r w:rsidRPr="00745F3F">
        <w:rPr>
          <w:rFonts w:ascii="Times New Roman" w:hAnsi="Times New Roman" w:cs="Times New Roman"/>
          <w:sz w:val="24"/>
          <w:szCs w:val="24"/>
        </w:rPr>
        <w:t>– podpora partnerství</w:t>
      </w:r>
      <w:r w:rsidRPr="00745F3F">
        <w:rPr>
          <w:rFonts w:ascii="Times New Roman" w:hAnsi="Times New Roman" w:cs="Times New Roman"/>
          <w:sz w:val="24"/>
          <w:szCs w:val="24"/>
        </w:rPr>
        <w:br/>
      </w:r>
      <w:r w:rsidRPr="00745F3F">
        <w:rPr>
          <w:rFonts w:ascii="Times New Roman" w:hAnsi="Times New Roman" w:cs="Times New Roman"/>
          <w:bCs/>
          <w:sz w:val="24"/>
          <w:szCs w:val="24"/>
        </w:rPr>
        <w:t>Zaměření sub-projektů:</w:t>
      </w:r>
      <w:r w:rsidRPr="00745F3F">
        <w:rPr>
          <w:rFonts w:ascii="Times New Roman" w:hAnsi="Times New Roman" w:cs="Times New Roman"/>
          <w:bCs/>
          <w:sz w:val="24"/>
          <w:szCs w:val="24"/>
        </w:rPr>
        <w:br/>
        <w:t>Posílení spolupráce,</w:t>
      </w:r>
      <w:r w:rsidRPr="00745F3F">
        <w:rPr>
          <w:rFonts w:ascii="Times New Roman" w:hAnsi="Times New Roman" w:cs="Times New Roman"/>
          <w:bCs/>
          <w:sz w:val="24"/>
          <w:szCs w:val="24"/>
        </w:rPr>
        <w:br/>
        <w:t>Výměnu informací,</w:t>
      </w:r>
      <w:r w:rsidRPr="00745F3F">
        <w:rPr>
          <w:rFonts w:ascii="Times New Roman" w:hAnsi="Times New Roman" w:cs="Times New Roman"/>
          <w:bCs/>
          <w:sz w:val="24"/>
          <w:szCs w:val="24"/>
        </w:rPr>
        <w:br/>
        <w:t>Přenos know-how,</w:t>
      </w:r>
      <w:r w:rsidRPr="00745F3F">
        <w:rPr>
          <w:rFonts w:ascii="Times New Roman" w:hAnsi="Times New Roman" w:cs="Times New Roman"/>
          <w:bCs/>
          <w:sz w:val="24"/>
          <w:szCs w:val="24"/>
        </w:rPr>
        <w:br/>
        <w:t>Dobré praxe.</w:t>
      </w:r>
    </w:p>
    <w:p w:rsidR="00AC471C" w:rsidRPr="00745F3F" w:rsidRDefault="00AC471C" w:rsidP="00AC471C">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b/>
          <w:bCs/>
          <w:sz w:val="24"/>
          <w:szCs w:val="24"/>
        </w:rPr>
        <w:t xml:space="preserve">Fond na stipendia </w:t>
      </w:r>
      <w:r w:rsidRPr="00745F3F">
        <w:rPr>
          <w:rFonts w:ascii="Times New Roman" w:hAnsi="Times New Roman" w:cs="Times New Roman"/>
          <w:sz w:val="24"/>
          <w:szCs w:val="24"/>
        </w:rPr>
        <w:t>– podpora vysoce kvalifikovaných lidských zdrojů formou stipendií na vzdělávání a výzkum</w:t>
      </w:r>
    </w:p>
    <w:p w:rsidR="00AC471C" w:rsidRPr="00745F3F" w:rsidRDefault="00AC471C" w:rsidP="00AC471C">
      <w:pPr>
        <w:numPr>
          <w:ilvl w:val="0"/>
          <w:numId w:val="6"/>
        </w:numPr>
        <w:autoSpaceDE w:val="0"/>
        <w:autoSpaceDN w:val="0"/>
        <w:adjustRightInd w:val="0"/>
        <w:spacing w:after="0" w:line="240" w:lineRule="auto"/>
        <w:rPr>
          <w:rFonts w:ascii="Times New Roman" w:hAnsi="Times New Roman" w:cs="Times New Roman"/>
          <w:b/>
          <w:bCs/>
          <w:sz w:val="24"/>
          <w:szCs w:val="24"/>
        </w:rPr>
      </w:pPr>
      <w:r w:rsidRPr="00745F3F">
        <w:rPr>
          <w:rFonts w:ascii="Times New Roman" w:hAnsi="Times New Roman" w:cs="Times New Roman"/>
          <w:b/>
          <w:bCs/>
          <w:sz w:val="24"/>
          <w:szCs w:val="24"/>
        </w:rPr>
        <w:t xml:space="preserve">Fond technické asistence </w:t>
      </w:r>
    </w:p>
    <w:p w:rsidR="00AC471C" w:rsidRPr="00745F3F" w:rsidRDefault="00AC471C" w:rsidP="00AC471C">
      <w:pPr>
        <w:pStyle w:val="I-C2podkapitola"/>
      </w:pPr>
      <w:bookmarkStart w:id="9" w:name="_Toc271398059"/>
      <w:r w:rsidRPr="00745F3F">
        <w:t>5.</w:t>
      </w:r>
      <w:r>
        <w:t>1.</w:t>
      </w:r>
      <w:r w:rsidRPr="00745F3F">
        <w:t>9</w:t>
      </w:r>
      <w:r w:rsidRPr="00745F3F">
        <w:tab/>
        <w:t>Revolvingový fond Ministerstva životního prostředí ČR</w:t>
      </w:r>
      <w:bookmarkEnd w:id="9"/>
      <w:r w:rsidRPr="00745F3F">
        <w:t xml:space="preserve"> </w:t>
      </w:r>
    </w:p>
    <w:p w:rsidR="00AC471C" w:rsidRPr="00745F3F" w:rsidRDefault="00AC471C" w:rsidP="00AC471C">
      <w:p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V rámci Revolvingového fondu Ministerstva životního prostředí se poskytuje finanční pomoc formou půjčky nebo grantu (tj. formou nevratné podpory). Podporované projekty musí mít pozitivní vliv na životní prostředí i udržitelný rozvoj a musí být v souladu se všemi právními předpisy České republiky a Evropských společenství a horizontálními prioritami Evropských společenství.</w:t>
      </w:r>
    </w:p>
    <w:p w:rsidR="00AC471C" w:rsidRPr="00745F3F" w:rsidRDefault="00AC471C" w:rsidP="00AC471C">
      <w:pPr>
        <w:autoSpaceDE w:val="0"/>
        <w:autoSpaceDN w:val="0"/>
        <w:adjustRightInd w:val="0"/>
        <w:jc w:val="both"/>
        <w:rPr>
          <w:rFonts w:ascii="Times New Roman" w:hAnsi="Times New Roman" w:cs="Times New Roman"/>
          <w:sz w:val="24"/>
          <w:szCs w:val="24"/>
        </w:rPr>
      </w:pPr>
    </w:p>
    <w:p w:rsidR="00AC471C" w:rsidRPr="00745F3F" w:rsidRDefault="00AC471C" w:rsidP="00AC471C">
      <w:pPr>
        <w:autoSpaceDE w:val="0"/>
        <w:autoSpaceDN w:val="0"/>
        <w:adjustRightInd w:val="0"/>
        <w:jc w:val="both"/>
        <w:rPr>
          <w:rFonts w:ascii="Times New Roman" w:hAnsi="Times New Roman" w:cs="Times New Roman"/>
          <w:sz w:val="24"/>
          <w:szCs w:val="24"/>
        </w:rPr>
      </w:pPr>
      <w:r w:rsidRPr="00745F3F">
        <w:rPr>
          <w:rFonts w:ascii="Times New Roman" w:hAnsi="Times New Roman" w:cs="Times New Roman"/>
          <w:b/>
          <w:sz w:val="24"/>
          <w:szCs w:val="24"/>
        </w:rPr>
        <w:t xml:space="preserve">Granty - </w:t>
      </w:r>
      <w:r w:rsidRPr="00745F3F">
        <w:rPr>
          <w:rFonts w:ascii="Times New Roman" w:hAnsi="Times New Roman" w:cs="Times New Roman"/>
          <w:sz w:val="24"/>
          <w:szCs w:val="24"/>
        </w:rPr>
        <w:t>finanční pomoc na následující aktivity:</w:t>
      </w:r>
    </w:p>
    <w:p w:rsidR="00AC471C" w:rsidRPr="00745F3F" w:rsidRDefault="00AC471C" w:rsidP="00AC471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podpora zavádění MA </w:t>
      </w:r>
      <w:smartTag w:uri="urn:schemas-microsoft-com:office:smarttags" w:element="metricconverter">
        <w:smartTagPr>
          <w:attr w:name="ProductID" w:val="21 a"/>
        </w:smartTagPr>
        <w:r w:rsidRPr="00745F3F">
          <w:rPr>
            <w:rFonts w:ascii="Times New Roman" w:hAnsi="Times New Roman" w:cs="Times New Roman"/>
            <w:sz w:val="24"/>
            <w:szCs w:val="24"/>
          </w:rPr>
          <w:t>21 a</w:t>
        </w:r>
      </w:smartTag>
      <w:r w:rsidRPr="00745F3F">
        <w:rPr>
          <w:rFonts w:ascii="Times New Roman" w:hAnsi="Times New Roman" w:cs="Times New Roman"/>
          <w:sz w:val="24"/>
          <w:szCs w:val="24"/>
        </w:rPr>
        <w:t xml:space="preserve"> prokazatelný kvalitativní posun v tomto procesu</w:t>
      </w:r>
    </w:p>
    <w:p w:rsidR="00AC471C" w:rsidRPr="00745F3F" w:rsidRDefault="00AC471C" w:rsidP="00AC471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sledování a vyhodnocování indikátorů udržitelného rozvoje na místní úrovni</w:t>
      </w:r>
    </w:p>
    <w:p w:rsidR="00AC471C" w:rsidRPr="00745F3F" w:rsidRDefault="00AC471C" w:rsidP="00AC471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komunitní a expertní plánování v kvalitě MA 21</w:t>
      </w:r>
    </w:p>
    <w:p w:rsidR="00AC471C" w:rsidRPr="00745F3F" w:rsidRDefault="00AC471C" w:rsidP="00AC471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realizace místních akcí a kampaní pro veřejnost a další opatření a aktivity směrem k udržitelnému rozvoji</w:t>
      </w:r>
    </w:p>
    <w:p w:rsidR="00AC471C" w:rsidRPr="00745F3F" w:rsidRDefault="00AC471C" w:rsidP="00AC471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 xml:space="preserve">modelové projekty pro udržitelný rozvoj, které řeší ochranu životního prostředí </w:t>
      </w:r>
      <w:r w:rsidRPr="00745F3F">
        <w:rPr>
          <w:rFonts w:ascii="Times New Roman" w:hAnsi="Times New Roman" w:cs="Times New Roman"/>
          <w:sz w:val="24"/>
          <w:szCs w:val="24"/>
        </w:rPr>
        <w:br/>
        <w:t xml:space="preserve">a současně přispívají k sociálnímu a ekonomickému rozvoji obcí a regionů. </w:t>
      </w:r>
    </w:p>
    <w:p w:rsidR="00AC471C" w:rsidRPr="00745F3F" w:rsidRDefault="00AC471C" w:rsidP="00AC47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745F3F">
        <w:rPr>
          <w:rFonts w:ascii="Times New Roman" w:hAnsi="Times New Roman" w:cs="Times New Roman"/>
          <w:sz w:val="24"/>
          <w:szCs w:val="24"/>
        </w:rPr>
        <w:t xml:space="preserve">Z programu jsou podporované aktivity jako například Příprava strategických dokumentů, organizace kampaní a akcí, environmentální vzdělávání a osvěta, zelenání úřadů veřejné správy, plánování rozvoje obce s veřejností, inovativní přístupy a dobrá praxe </w:t>
      </w:r>
      <w:r>
        <w:rPr>
          <w:rFonts w:ascii="Times New Roman" w:hAnsi="Times New Roman" w:cs="Times New Roman"/>
          <w:sz w:val="24"/>
          <w:szCs w:val="24"/>
        </w:rPr>
        <w:br/>
      </w:r>
    </w:p>
    <w:p w:rsidR="00AC471C" w:rsidRPr="00745F3F" w:rsidRDefault="00AC471C" w:rsidP="00AC471C">
      <w:pPr>
        <w:pStyle w:val="I-C2podkapitola"/>
        <w:spacing w:before="0" w:after="0"/>
        <w:jc w:val="left"/>
      </w:pPr>
      <w:bookmarkStart w:id="10" w:name="_Toc271398060"/>
      <w:r w:rsidRPr="00745F3F">
        <w:t>5.</w:t>
      </w:r>
      <w:r>
        <w:t>1.</w:t>
      </w:r>
      <w:r w:rsidRPr="00745F3F">
        <w:t>10</w:t>
      </w:r>
      <w:r w:rsidRPr="00745F3F">
        <w:tab/>
        <w:t>Program LIFE +</w:t>
      </w:r>
      <w:bookmarkEnd w:id="10"/>
      <w:r>
        <w:br/>
      </w:r>
    </w:p>
    <w:p w:rsidR="00AC471C" w:rsidRPr="00745F3F" w:rsidRDefault="00AC471C" w:rsidP="00AC471C">
      <w:p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t>Pro finanční perspektivu 2007-2013 bylo rozhodnuto o integrovaném přístupu k financování životního prostředí. Jeho součástí se stal i tento finanční nástroj úzce zaměřený na životní prostředí – program</w:t>
      </w:r>
      <w:r>
        <w:rPr>
          <w:rFonts w:ascii="Times New Roman" w:hAnsi="Times New Roman" w:cs="Times New Roman"/>
          <w:sz w:val="24"/>
          <w:szCs w:val="24"/>
        </w:rPr>
        <w:t xml:space="preserve"> LIFE+. Program LIFE+ se skládá </w:t>
      </w:r>
      <w:r w:rsidRPr="00745F3F">
        <w:rPr>
          <w:rFonts w:ascii="Times New Roman" w:hAnsi="Times New Roman" w:cs="Times New Roman"/>
          <w:sz w:val="24"/>
          <w:szCs w:val="24"/>
        </w:rPr>
        <w:t>z</w:t>
      </w:r>
      <w:r>
        <w:rPr>
          <w:rFonts w:ascii="Times New Roman" w:hAnsi="Times New Roman" w:cs="Times New Roman"/>
          <w:sz w:val="24"/>
          <w:szCs w:val="24"/>
        </w:rPr>
        <w:t>e tří částí</w:t>
      </w:r>
      <w:r w:rsidRPr="00745F3F">
        <w:rPr>
          <w:rFonts w:ascii="Times New Roman" w:hAnsi="Times New Roman" w:cs="Times New Roman"/>
          <w:sz w:val="24"/>
          <w:szCs w:val="24"/>
        </w:rPr>
        <w:t xml:space="preserve"> (pilířů) nazvaných „LIFE+ Příroda a biologická rozmanitost“, „LIFE+ Politika a správa v oblasti životního prostředí“ </w:t>
      </w:r>
      <w:r w:rsidRPr="00745F3F">
        <w:rPr>
          <w:rFonts w:ascii="Times New Roman" w:hAnsi="Times New Roman" w:cs="Times New Roman"/>
          <w:sz w:val="24"/>
          <w:szCs w:val="24"/>
        </w:rPr>
        <w:br/>
        <w:t xml:space="preserve">a „LIFE+ Informace a komunikace“. Financování projektů v rámci programu LIFE+ je realizováno na základě 2 víceletých centrálních programů, které určují zásadní cíle, priority, oblasti a typy činností, ale také očekávané výsledky i případnou maximální míru dofinancování. </w:t>
      </w:r>
    </w:p>
    <w:p w:rsidR="00AC471C" w:rsidRPr="00745F3F" w:rsidRDefault="00AC471C" w:rsidP="00AC471C">
      <w:pPr>
        <w:autoSpaceDE w:val="0"/>
        <w:autoSpaceDN w:val="0"/>
        <w:adjustRightInd w:val="0"/>
        <w:spacing w:after="0" w:line="240" w:lineRule="auto"/>
        <w:jc w:val="both"/>
        <w:rPr>
          <w:rFonts w:ascii="Times New Roman" w:hAnsi="Times New Roman" w:cs="Times New Roman"/>
          <w:sz w:val="24"/>
          <w:szCs w:val="24"/>
        </w:rPr>
      </w:pPr>
      <w:r w:rsidRPr="00745F3F">
        <w:rPr>
          <w:rFonts w:ascii="Times New Roman" w:hAnsi="Times New Roman" w:cs="Times New Roman"/>
          <w:sz w:val="24"/>
          <w:szCs w:val="24"/>
        </w:rPr>
        <w:lastRenderedPageBreak/>
        <w:t xml:space="preserve">Žádosti se předkládají na národní kontaktní místo, kterým je Ministerstvo životního prostředí, jsou však posuzovány na evropské úrovni, kde probíhá také výběr projektů. </w:t>
      </w:r>
      <w:r>
        <w:rPr>
          <w:rFonts w:ascii="Times New Roman" w:hAnsi="Times New Roman" w:cs="Times New Roman"/>
          <w:sz w:val="24"/>
          <w:szCs w:val="24"/>
        </w:rPr>
        <w:br/>
      </w:r>
    </w:p>
    <w:p w:rsidR="00AC471C" w:rsidRDefault="00AC471C" w:rsidP="00AC471C">
      <w:pPr>
        <w:jc w:val="both"/>
        <w:rPr>
          <w:rFonts w:ascii="Times New Roman" w:eastAsia="Times New Roman" w:hAnsi="Times New Roman" w:cs="Times New Roman"/>
          <w:b/>
          <w:bCs/>
          <w:color w:val="231F20"/>
          <w:kern w:val="36"/>
          <w:sz w:val="24"/>
          <w:szCs w:val="24"/>
        </w:rPr>
      </w:pPr>
    </w:p>
    <w:p w:rsidR="00AC471C" w:rsidRPr="00CF258E" w:rsidRDefault="00AC471C" w:rsidP="00AC471C">
      <w:pPr>
        <w:jc w:val="both"/>
        <w:rPr>
          <w:rFonts w:ascii="Times New Roman" w:eastAsia="Times New Roman" w:hAnsi="Times New Roman" w:cs="Times New Roman"/>
          <w:b/>
          <w:bCs/>
          <w:color w:val="231F20"/>
          <w:kern w:val="36"/>
          <w:sz w:val="28"/>
          <w:szCs w:val="28"/>
        </w:rPr>
      </w:pPr>
    </w:p>
    <w:p w:rsidR="00AC471C" w:rsidRPr="00CF258E" w:rsidRDefault="00AC471C" w:rsidP="00AC471C">
      <w:pPr>
        <w:jc w:val="both"/>
        <w:rPr>
          <w:rFonts w:ascii="Times New Roman" w:eastAsia="Times New Roman" w:hAnsi="Times New Roman" w:cs="Times New Roman"/>
          <w:b/>
          <w:bCs/>
          <w:color w:val="231F20"/>
          <w:kern w:val="36"/>
          <w:sz w:val="28"/>
          <w:szCs w:val="28"/>
        </w:rPr>
      </w:pPr>
      <w:r w:rsidRPr="00CF258E">
        <w:rPr>
          <w:rFonts w:ascii="Times New Roman" w:eastAsia="Times New Roman" w:hAnsi="Times New Roman" w:cs="Times New Roman"/>
          <w:b/>
          <w:bCs/>
          <w:color w:val="231F20"/>
          <w:kern w:val="36"/>
          <w:sz w:val="28"/>
          <w:szCs w:val="28"/>
        </w:rPr>
        <w:t>5.2 Základní obrysy budoucího programového období 2014-2020</w:t>
      </w:r>
    </w:p>
    <w:p w:rsidR="00AC471C" w:rsidRPr="00E37200" w:rsidRDefault="00AC471C" w:rsidP="00AC471C">
      <w:pPr>
        <w:spacing w:after="0" w:line="272" w:lineRule="atLeast"/>
        <w:rPr>
          <w:rFonts w:ascii="Times New Roman" w:eastAsia="Times New Roman" w:hAnsi="Times New Roman" w:cs="Times New Roman"/>
          <w:color w:val="231F20"/>
          <w:sz w:val="24"/>
          <w:szCs w:val="24"/>
        </w:rPr>
      </w:pPr>
      <w:r w:rsidRPr="00255082">
        <w:rPr>
          <w:rFonts w:ascii="Times New Roman" w:eastAsia="Times New Roman" w:hAnsi="Times New Roman" w:cs="Times New Roman"/>
          <w:color w:val="231F20"/>
          <w:sz w:val="24"/>
          <w:szCs w:val="24"/>
        </w:rPr>
        <w:t>V listopadu roku 2012 v</w:t>
      </w:r>
      <w:r w:rsidRPr="00E37200">
        <w:rPr>
          <w:rFonts w:ascii="Times New Roman" w:eastAsia="Times New Roman" w:hAnsi="Times New Roman" w:cs="Times New Roman"/>
          <w:color w:val="231F20"/>
          <w:sz w:val="24"/>
          <w:szCs w:val="24"/>
        </w:rPr>
        <w:t>láda ČR schválila materiál předložený ministerstvem pro místní rozvoj, který představuje základní stavební kámen pro příští programové období 2014-2020. Jde o Podklad pro přípravu Dohody o partnerství pro programové období – Vymezení programů a další postup při přípravě České republiky pro efektivní čerpání fondů Společného strategického rámce („Podklad pro přípravu Dohody“).</w:t>
      </w:r>
    </w:p>
    <w:p w:rsidR="00AC471C" w:rsidRPr="00255082" w:rsidRDefault="00AC471C" w:rsidP="00AC471C">
      <w:pPr>
        <w:spacing w:after="0" w:line="272" w:lineRule="atLeast"/>
        <w:rPr>
          <w:rFonts w:ascii="Times New Roman" w:eastAsia="Times New Roman" w:hAnsi="Times New Roman" w:cs="Times New Roman"/>
          <w:bCs/>
          <w:color w:val="231F20"/>
          <w:sz w:val="24"/>
          <w:szCs w:val="24"/>
        </w:rPr>
      </w:pPr>
      <w:r w:rsidRPr="00255082">
        <w:rPr>
          <w:rFonts w:ascii="Times New Roman" w:eastAsia="Times New Roman" w:hAnsi="Times New Roman" w:cs="Times New Roman"/>
          <w:color w:val="231F20"/>
          <w:sz w:val="24"/>
          <w:szCs w:val="24"/>
        </w:rPr>
        <w:br/>
      </w:r>
      <w:r w:rsidRPr="00E37200">
        <w:rPr>
          <w:rFonts w:ascii="Times New Roman" w:eastAsia="Times New Roman" w:hAnsi="Times New Roman" w:cs="Times New Roman"/>
          <w:color w:val="231F20"/>
          <w:sz w:val="24"/>
          <w:szCs w:val="24"/>
        </w:rPr>
        <w:t xml:space="preserve">Dohoda bude obsahovat následující návrh vymezení OP pro Evropský fond regionálního rozvoje, Fond soudržnosti a Evropský sociální fond, to jest, pro jednotlivé fondy EU. </w:t>
      </w:r>
      <w:r w:rsidRPr="00E37200">
        <w:rPr>
          <w:rFonts w:ascii="Times New Roman" w:eastAsia="Times New Roman" w:hAnsi="Times New Roman" w:cs="Times New Roman"/>
          <w:color w:val="231F20"/>
          <w:sz w:val="24"/>
          <w:szCs w:val="24"/>
        </w:rPr>
        <w:br/>
      </w:r>
      <w:r w:rsidRPr="00E37200">
        <w:rPr>
          <w:rFonts w:ascii="Times New Roman" w:eastAsia="Times New Roman" w:hAnsi="Times New Roman" w:cs="Times New Roman"/>
          <w:color w:val="231F20"/>
          <w:sz w:val="24"/>
          <w:szCs w:val="24"/>
        </w:rPr>
        <w:br/>
      </w:r>
      <w:r>
        <w:rPr>
          <w:rFonts w:ascii="Times New Roman" w:eastAsia="Times New Roman" w:hAnsi="Times New Roman" w:cs="Times New Roman"/>
          <w:color w:val="231F20"/>
          <w:sz w:val="24"/>
          <w:szCs w:val="24"/>
        </w:rPr>
        <w:t>Pro budoucí programovací období budou připraveny tyto operační programy</w:t>
      </w:r>
      <w:r w:rsidRPr="00E37200">
        <w:rPr>
          <w:rFonts w:ascii="Times New Roman" w:eastAsia="Times New Roman" w:hAnsi="Times New Roman" w:cs="Times New Roman"/>
          <w:color w:val="231F20"/>
          <w:sz w:val="24"/>
          <w:szCs w:val="24"/>
        </w:rPr>
        <w:t>:</w:t>
      </w:r>
      <w:r w:rsidRPr="00E37200">
        <w:rPr>
          <w:rFonts w:ascii="Times New Roman" w:eastAsia="Times New Roman" w:hAnsi="Times New Roman" w:cs="Times New Roman"/>
          <w:color w:val="231F20"/>
          <w:sz w:val="24"/>
          <w:szCs w:val="24"/>
        </w:rPr>
        <w:br/>
        <w:t>- Operační program „Podnikání a inovace pro konkurenceschopnost“ řízený ministerstvem průmyslu a obchodu;</w:t>
      </w:r>
      <w:r w:rsidRPr="00E37200">
        <w:rPr>
          <w:rFonts w:ascii="Times New Roman" w:eastAsia="Times New Roman" w:hAnsi="Times New Roman" w:cs="Times New Roman"/>
          <w:color w:val="231F20"/>
          <w:sz w:val="24"/>
          <w:szCs w:val="24"/>
        </w:rPr>
        <w:br/>
        <w:t>- Operační program „Výzkum, vývoj a vzdělávání“ řízený ministerstvem školství, mládeže a tělovýchovy;</w:t>
      </w:r>
      <w:r w:rsidRPr="00E37200">
        <w:rPr>
          <w:rFonts w:ascii="Times New Roman" w:eastAsia="Times New Roman" w:hAnsi="Times New Roman" w:cs="Times New Roman"/>
          <w:color w:val="231F20"/>
          <w:sz w:val="24"/>
          <w:szCs w:val="24"/>
        </w:rPr>
        <w:br/>
        <w:t>- Operační program „Zaměstnanost“ řízený ministerstvem práce a sociálních věcí;</w:t>
      </w:r>
      <w:r w:rsidRPr="00E37200">
        <w:rPr>
          <w:rFonts w:ascii="Times New Roman" w:eastAsia="Times New Roman" w:hAnsi="Times New Roman" w:cs="Times New Roman"/>
          <w:color w:val="231F20"/>
          <w:sz w:val="24"/>
          <w:szCs w:val="24"/>
        </w:rPr>
        <w:br/>
        <w:t>- Operační program „Doprava“ řízený ministerstvem dopravy;</w:t>
      </w:r>
      <w:r w:rsidRPr="00E37200">
        <w:rPr>
          <w:rFonts w:ascii="Times New Roman" w:eastAsia="Times New Roman" w:hAnsi="Times New Roman" w:cs="Times New Roman"/>
          <w:color w:val="231F20"/>
          <w:sz w:val="24"/>
          <w:szCs w:val="24"/>
        </w:rPr>
        <w:br/>
        <w:t>- Operační program „Životní prostředí“ řízený ministerstvem životního prostředí;</w:t>
      </w:r>
      <w:r w:rsidRPr="00E37200">
        <w:rPr>
          <w:rFonts w:ascii="Times New Roman" w:eastAsia="Times New Roman" w:hAnsi="Times New Roman" w:cs="Times New Roman"/>
          <w:color w:val="231F20"/>
          <w:sz w:val="24"/>
          <w:szCs w:val="24"/>
        </w:rPr>
        <w:br/>
        <w:t>- „Integrovaný regionální operační program“ řízený ministerstvem pro místní rozvoj;</w:t>
      </w:r>
      <w:r w:rsidRPr="00E37200">
        <w:rPr>
          <w:rFonts w:ascii="Times New Roman" w:eastAsia="Times New Roman" w:hAnsi="Times New Roman" w:cs="Times New Roman"/>
          <w:color w:val="231F20"/>
          <w:sz w:val="24"/>
          <w:szCs w:val="24"/>
        </w:rPr>
        <w:br/>
        <w:t xml:space="preserve">- </w:t>
      </w:r>
      <w:r w:rsidRPr="00E37200">
        <w:rPr>
          <w:rFonts w:ascii="Times New Roman" w:eastAsia="Times New Roman" w:hAnsi="Times New Roman" w:cs="Times New Roman"/>
          <w:b/>
          <w:color w:val="231F20"/>
          <w:sz w:val="24"/>
          <w:szCs w:val="24"/>
        </w:rPr>
        <w:t>Operační program „Praha – pól růstu ČR“ řízený Magistrátem hlavního města Prahy;</w:t>
      </w:r>
      <w:r w:rsidRPr="00E37200">
        <w:rPr>
          <w:rFonts w:ascii="Times New Roman" w:eastAsia="Times New Roman" w:hAnsi="Times New Roman" w:cs="Times New Roman"/>
          <w:color w:val="231F20"/>
          <w:sz w:val="24"/>
          <w:szCs w:val="24"/>
        </w:rPr>
        <w:br/>
        <w:t>- Operační program „Technická pomoc“ řízený ministerstvem pro místní rozvoj.</w:t>
      </w:r>
      <w:r w:rsidRPr="00E37200">
        <w:rPr>
          <w:rFonts w:ascii="Times New Roman" w:eastAsia="Times New Roman" w:hAnsi="Times New Roman" w:cs="Times New Roman"/>
          <w:color w:val="231F20"/>
          <w:sz w:val="24"/>
          <w:szCs w:val="24"/>
        </w:rPr>
        <w:br/>
      </w:r>
      <w:r w:rsidRPr="00E37200">
        <w:rPr>
          <w:rFonts w:ascii="Times New Roman" w:eastAsia="Times New Roman" w:hAnsi="Times New Roman" w:cs="Times New Roman"/>
          <w:color w:val="231F20"/>
          <w:sz w:val="24"/>
          <w:szCs w:val="24"/>
        </w:rPr>
        <w:br/>
      </w:r>
      <w:r w:rsidRPr="00255082">
        <w:rPr>
          <w:rFonts w:ascii="Times New Roman" w:eastAsia="Times New Roman" w:hAnsi="Times New Roman" w:cs="Times New Roman"/>
          <w:bCs/>
          <w:color w:val="231F20"/>
          <w:sz w:val="24"/>
          <w:szCs w:val="24"/>
        </w:rPr>
        <w:t xml:space="preserve">V současné době všechny dotčené resorty pracují na přípravě operačních programů, které spadají do jejich kompetence. </w:t>
      </w:r>
    </w:p>
    <w:p w:rsidR="00AC471C" w:rsidRPr="00255082" w:rsidRDefault="00AC471C" w:rsidP="00AC471C">
      <w:pPr>
        <w:spacing w:after="0" w:line="272" w:lineRule="atLeast"/>
        <w:rPr>
          <w:rFonts w:ascii="Times New Roman" w:eastAsia="Times New Roman" w:hAnsi="Times New Roman" w:cs="Times New Roman"/>
          <w:bCs/>
          <w:color w:val="231F20"/>
          <w:sz w:val="24"/>
          <w:szCs w:val="24"/>
        </w:rPr>
      </w:pPr>
      <w:r w:rsidRPr="00255082">
        <w:rPr>
          <w:rFonts w:ascii="Times New Roman" w:eastAsia="Times New Roman" w:hAnsi="Times New Roman" w:cs="Times New Roman"/>
          <w:bCs/>
          <w:color w:val="231F20"/>
          <w:sz w:val="24"/>
          <w:szCs w:val="24"/>
        </w:rPr>
        <w:t xml:space="preserve">Magistrát hlavního města Prahy, Útvar rozvoje města hl. m. Prahy připravuje první verzi Operačního programu „Praha – pól růstu ČR, která by měla být hotová v březnu 2013. Tento operační program bude nakládat s cca 89 mld. EUR, které budou určené pro celé programovací období 2014 – 2020. Budou financovány z Evropského sociálního fondu </w:t>
      </w:r>
      <w:r>
        <w:rPr>
          <w:rFonts w:ascii="Times New Roman" w:eastAsia="Times New Roman" w:hAnsi="Times New Roman" w:cs="Times New Roman"/>
          <w:bCs/>
          <w:color w:val="231F20"/>
          <w:sz w:val="24"/>
          <w:szCs w:val="24"/>
        </w:rPr>
        <w:br/>
      </w:r>
      <w:r w:rsidRPr="00255082">
        <w:rPr>
          <w:rFonts w:ascii="Times New Roman" w:eastAsia="Times New Roman" w:hAnsi="Times New Roman" w:cs="Times New Roman"/>
          <w:bCs/>
          <w:color w:val="231F20"/>
          <w:sz w:val="24"/>
          <w:szCs w:val="24"/>
        </w:rPr>
        <w:t>a z Evropského fondu regionálního rozvoje.  Rozdělení finančních zdrojů bude mít pravděpodobně závazný procentuální poměr, který bude třeba dodržet mezi jednotlivými tematickými cíli (prioritními osami). Podmínkou finanční pomoci je, že stejnou částku, kterou poskytne Evropská komise, zajistí z</w:t>
      </w:r>
      <w:r>
        <w:rPr>
          <w:rFonts w:ascii="Times New Roman" w:eastAsia="Times New Roman" w:hAnsi="Times New Roman" w:cs="Times New Roman"/>
          <w:bCs/>
          <w:color w:val="231F20"/>
          <w:sz w:val="24"/>
          <w:szCs w:val="24"/>
        </w:rPr>
        <w:t>e sv</w:t>
      </w:r>
      <w:r w:rsidRPr="00255082">
        <w:rPr>
          <w:rFonts w:ascii="Times New Roman" w:eastAsia="Times New Roman" w:hAnsi="Times New Roman" w:cs="Times New Roman"/>
          <w:bCs/>
          <w:color w:val="231F20"/>
          <w:sz w:val="24"/>
          <w:szCs w:val="24"/>
        </w:rPr>
        <w:t xml:space="preserve">ých zdrojů také Česká republika (Hlavní město Praha a žadatelé). </w:t>
      </w:r>
    </w:p>
    <w:p w:rsidR="00AC471C" w:rsidRDefault="00AC471C" w:rsidP="00AC471C">
      <w:pPr>
        <w:spacing w:after="0" w:line="272" w:lineRule="atLeast"/>
        <w:rPr>
          <w:rFonts w:ascii="Times New Roman" w:eastAsia="Times New Roman" w:hAnsi="Times New Roman" w:cs="Times New Roman"/>
          <w:bCs/>
          <w:color w:val="231F20"/>
          <w:sz w:val="24"/>
          <w:szCs w:val="24"/>
        </w:rPr>
      </w:pPr>
      <w:r>
        <w:rPr>
          <w:rFonts w:ascii="Times New Roman" w:eastAsia="Times New Roman" w:hAnsi="Times New Roman" w:cs="Times New Roman"/>
          <w:bCs/>
          <w:color w:val="231F20"/>
          <w:sz w:val="24"/>
          <w:szCs w:val="24"/>
        </w:rPr>
        <w:t>Evropská unie má stanoveny základní priority</w:t>
      </w:r>
      <w:r w:rsidRPr="00255082">
        <w:rPr>
          <w:rFonts w:ascii="Times New Roman" w:eastAsia="Times New Roman" w:hAnsi="Times New Roman" w:cs="Times New Roman"/>
          <w:bCs/>
          <w:color w:val="231F20"/>
          <w:sz w:val="24"/>
          <w:szCs w:val="24"/>
        </w:rPr>
        <w:t xml:space="preserve"> pro budoucí programovací období 2014 – 2020. Operační program „Praha – pól růstu ČR“ využije pouze některé oblasti, a to:</w:t>
      </w:r>
    </w:p>
    <w:p w:rsidR="00AC471C" w:rsidRPr="00255082" w:rsidRDefault="00AC471C" w:rsidP="00AC471C">
      <w:pPr>
        <w:spacing w:after="0" w:line="272" w:lineRule="atLeast"/>
        <w:rPr>
          <w:rFonts w:ascii="Times New Roman" w:eastAsia="Times New Roman" w:hAnsi="Times New Roman" w:cs="Times New Roman"/>
          <w:bCs/>
          <w:color w:val="231F20"/>
          <w:sz w:val="24"/>
          <w:szCs w:val="24"/>
        </w:rPr>
      </w:pPr>
    </w:p>
    <w:p w:rsidR="00AC471C" w:rsidRPr="00C031A7" w:rsidRDefault="00AC471C" w:rsidP="00AC471C">
      <w:pPr>
        <w:pStyle w:val="Odstavecseseznamem"/>
        <w:numPr>
          <w:ilvl w:val="0"/>
          <w:numId w:val="1"/>
        </w:numPr>
        <w:spacing w:line="272" w:lineRule="atLeast"/>
        <w:rPr>
          <w:rFonts w:ascii="Times New Roman" w:eastAsia="Times New Roman" w:hAnsi="Times New Roman" w:cs="Times New Roman"/>
          <w:bCs/>
          <w:color w:val="231F20"/>
          <w:sz w:val="24"/>
          <w:szCs w:val="24"/>
        </w:rPr>
      </w:pPr>
      <w:r w:rsidRPr="00C031A7">
        <w:rPr>
          <w:rFonts w:ascii="Times New Roman" w:eastAsia="Times New Roman" w:hAnsi="Times New Roman" w:cs="Times New Roman"/>
          <w:bCs/>
          <w:color w:val="231F20"/>
          <w:sz w:val="24"/>
          <w:szCs w:val="24"/>
        </w:rPr>
        <w:t>Věda, výzkum a inovace</w:t>
      </w:r>
    </w:p>
    <w:p w:rsidR="00AC471C" w:rsidRPr="00C031A7" w:rsidRDefault="00AC471C" w:rsidP="00AC471C">
      <w:pPr>
        <w:pStyle w:val="Odstavecseseznamem"/>
        <w:numPr>
          <w:ilvl w:val="0"/>
          <w:numId w:val="1"/>
        </w:numPr>
        <w:spacing w:line="272" w:lineRule="atLeast"/>
        <w:rPr>
          <w:rFonts w:ascii="Times New Roman" w:eastAsia="Times New Roman" w:hAnsi="Times New Roman" w:cs="Times New Roman"/>
          <w:bCs/>
          <w:color w:val="231F20"/>
          <w:sz w:val="24"/>
          <w:szCs w:val="24"/>
        </w:rPr>
      </w:pPr>
      <w:r w:rsidRPr="00C031A7">
        <w:rPr>
          <w:rFonts w:ascii="Times New Roman" w:eastAsia="Times New Roman" w:hAnsi="Times New Roman" w:cs="Times New Roman"/>
          <w:bCs/>
          <w:color w:val="231F20"/>
          <w:sz w:val="24"/>
          <w:szCs w:val="24"/>
        </w:rPr>
        <w:t>Podpora podnikání (lepší podmínky pro podnikání, podpora podnikatelských center a úvěrové nástroje)</w:t>
      </w:r>
    </w:p>
    <w:p w:rsidR="00AC471C" w:rsidRPr="00C031A7" w:rsidRDefault="00AC471C" w:rsidP="00AC471C">
      <w:pPr>
        <w:pStyle w:val="Odstavecseseznamem"/>
        <w:numPr>
          <w:ilvl w:val="0"/>
          <w:numId w:val="1"/>
        </w:numPr>
        <w:spacing w:line="272" w:lineRule="atLeast"/>
        <w:rPr>
          <w:rFonts w:ascii="Times New Roman" w:eastAsia="Times New Roman" w:hAnsi="Times New Roman" w:cs="Times New Roman"/>
          <w:bCs/>
          <w:color w:val="231F20"/>
          <w:sz w:val="24"/>
          <w:szCs w:val="24"/>
        </w:rPr>
      </w:pPr>
      <w:r w:rsidRPr="00C031A7">
        <w:rPr>
          <w:rFonts w:ascii="Times New Roman" w:eastAsia="Times New Roman" w:hAnsi="Times New Roman" w:cs="Times New Roman"/>
          <w:bCs/>
          <w:color w:val="231F20"/>
          <w:sz w:val="24"/>
          <w:szCs w:val="24"/>
        </w:rPr>
        <w:t>Udržitelná mobilita (podpora veřejné dopravy) a energické úspory objektů v majetku hlavního města, městských částí a jimi zřizovaných organizací</w:t>
      </w:r>
    </w:p>
    <w:p w:rsidR="00AC471C" w:rsidRPr="00C031A7" w:rsidRDefault="00AC471C" w:rsidP="00AC471C">
      <w:pPr>
        <w:pStyle w:val="Odstavecseseznamem"/>
        <w:numPr>
          <w:ilvl w:val="0"/>
          <w:numId w:val="1"/>
        </w:numPr>
        <w:spacing w:line="272" w:lineRule="atLeast"/>
        <w:rPr>
          <w:rFonts w:ascii="Times New Roman" w:eastAsia="Times New Roman" w:hAnsi="Times New Roman" w:cs="Times New Roman"/>
          <w:bCs/>
          <w:color w:val="231F20"/>
          <w:sz w:val="24"/>
          <w:szCs w:val="24"/>
        </w:rPr>
      </w:pPr>
      <w:r w:rsidRPr="00C031A7">
        <w:rPr>
          <w:rFonts w:ascii="Times New Roman" w:eastAsia="Times New Roman" w:hAnsi="Times New Roman" w:cs="Times New Roman"/>
          <w:bCs/>
          <w:color w:val="231F20"/>
          <w:sz w:val="24"/>
          <w:szCs w:val="24"/>
        </w:rPr>
        <w:t xml:space="preserve">Kvalitnější městské prostředí </w:t>
      </w:r>
    </w:p>
    <w:p w:rsidR="00AC471C" w:rsidRPr="00C031A7" w:rsidRDefault="00AC471C" w:rsidP="00AC471C">
      <w:pPr>
        <w:pStyle w:val="Odstavecseseznamem"/>
        <w:numPr>
          <w:ilvl w:val="0"/>
          <w:numId w:val="1"/>
        </w:numPr>
        <w:spacing w:line="272" w:lineRule="atLeast"/>
        <w:rPr>
          <w:rFonts w:ascii="Times New Roman" w:eastAsia="Times New Roman" w:hAnsi="Times New Roman" w:cs="Times New Roman"/>
          <w:bCs/>
          <w:color w:val="231F20"/>
          <w:sz w:val="24"/>
          <w:szCs w:val="24"/>
        </w:rPr>
      </w:pPr>
      <w:r w:rsidRPr="00C031A7">
        <w:rPr>
          <w:rFonts w:ascii="Times New Roman" w:eastAsia="Times New Roman" w:hAnsi="Times New Roman" w:cs="Times New Roman"/>
          <w:bCs/>
          <w:color w:val="231F20"/>
          <w:sz w:val="24"/>
          <w:szCs w:val="24"/>
        </w:rPr>
        <w:lastRenderedPageBreak/>
        <w:t xml:space="preserve">Zaměstnanost a pracovní síly </w:t>
      </w:r>
    </w:p>
    <w:p w:rsidR="00AC471C" w:rsidRPr="00C031A7" w:rsidRDefault="00AC471C" w:rsidP="00AC471C">
      <w:pPr>
        <w:pStyle w:val="Odstavecseseznamem"/>
        <w:numPr>
          <w:ilvl w:val="0"/>
          <w:numId w:val="1"/>
        </w:numPr>
        <w:spacing w:line="272" w:lineRule="atLeast"/>
        <w:rPr>
          <w:rFonts w:ascii="Times New Roman" w:eastAsia="Times New Roman" w:hAnsi="Times New Roman" w:cs="Times New Roman"/>
          <w:bCs/>
          <w:color w:val="231F20"/>
          <w:sz w:val="24"/>
          <w:szCs w:val="24"/>
        </w:rPr>
      </w:pPr>
      <w:r w:rsidRPr="00C031A7">
        <w:rPr>
          <w:rFonts w:ascii="Times New Roman" w:eastAsia="Times New Roman" w:hAnsi="Times New Roman" w:cs="Times New Roman"/>
          <w:bCs/>
          <w:color w:val="231F20"/>
          <w:sz w:val="24"/>
          <w:szCs w:val="24"/>
        </w:rPr>
        <w:t>Sociální začleňování a boj proti chudobě</w:t>
      </w:r>
    </w:p>
    <w:p w:rsidR="00AC471C" w:rsidRDefault="00AC471C" w:rsidP="00AC471C">
      <w:pPr>
        <w:pStyle w:val="Odstavecseseznamem"/>
        <w:numPr>
          <w:ilvl w:val="0"/>
          <w:numId w:val="2"/>
        </w:numPr>
        <w:spacing w:line="272" w:lineRule="atLeast"/>
        <w:rPr>
          <w:rFonts w:ascii="Times New Roman" w:eastAsia="Times New Roman" w:hAnsi="Times New Roman" w:cs="Times New Roman"/>
          <w:bCs/>
          <w:color w:val="231F20"/>
          <w:sz w:val="24"/>
          <w:szCs w:val="24"/>
        </w:rPr>
      </w:pPr>
      <w:r w:rsidRPr="00C031A7">
        <w:rPr>
          <w:rFonts w:ascii="Times New Roman" w:eastAsia="Times New Roman" w:hAnsi="Times New Roman" w:cs="Times New Roman"/>
          <w:bCs/>
          <w:color w:val="231F20"/>
          <w:sz w:val="24"/>
          <w:szCs w:val="24"/>
        </w:rPr>
        <w:t>Vzdělávání a vzdělanost</w:t>
      </w:r>
    </w:p>
    <w:p w:rsidR="00AC471C" w:rsidRPr="00C031A7" w:rsidRDefault="00AC471C" w:rsidP="00AC471C">
      <w:pPr>
        <w:pStyle w:val="Odstavecseseznamem"/>
        <w:spacing w:line="272" w:lineRule="atLeast"/>
        <w:ind w:firstLine="0"/>
        <w:rPr>
          <w:rFonts w:ascii="Times New Roman" w:eastAsia="Times New Roman" w:hAnsi="Times New Roman" w:cs="Times New Roman"/>
          <w:bCs/>
          <w:color w:val="231F20"/>
          <w:sz w:val="24"/>
          <w:szCs w:val="24"/>
        </w:rPr>
      </w:pPr>
    </w:p>
    <w:p w:rsidR="00AC471C" w:rsidRDefault="00AC471C" w:rsidP="00AC471C">
      <w:pPr>
        <w:spacing w:after="0" w:line="272" w:lineRule="atLeast"/>
        <w:rPr>
          <w:rFonts w:ascii="Times New Roman" w:eastAsia="Times New Roman" w:hAnsi="Times New Roman" w:cs="Times New Roman"/>
          <w:bCs/>
          <w:color w:val="231F20"/>
          <w:sz w:val="24"/>
          <w:szCs w:val="24"/>
        </w:rPr>
      </w:pPr>
      <w:r w:rsidRPr="00255082">
        <w:rPr>
          <w:rFonts w:ascii="Times New Roman" w:eastAsia="Times New Roman" w:hAnsi="Times New Roman" w:cs="Times New Roman"/>
          <w:bCs/>
          <w:color w:val="231F20"/>
          <w:sz w:val="24"/>
          <w:szCs w:val="24"/>
        </w:rPr>
        <w:t>V současné době ještě nejsou zcela jasně definovány</w:t>
      </w:r>
      <w:r>
        <w:rPr>
          <w:rFonts w:ascii="Times New Roman" w:eastAsia="Times New Roman" w:hAnsi="Times New Roman" w:cs="Times New Roman"/>
          <w:bCs/>
          <w:color w:val="231F20"/>
          <w:sz w:val="24"/>
          <w:szCs w:val="24"/>
        </w:rPr>
        <w:t xml:space="preserve"> náplně jednotlivých oblastí</w:t>
      </w:r>
      <w:r w:rsidRPr="00255082">
        <w:rPr>
          <w:rFonts w:ascii="Times New Roman" w:eastAsia="Times New Roman" w:hAnsi="Times New Roman" w:cs="Times New Roman"/>
          <w:bCs/>
          <w:color w:val="231F20"/>
          <w:sz w:val="24"/>
          <w:szCs w:val="24"/>
        </w:rPr>
        <w:t xml:space="preserve"> ani jejich přepokládaná základní finanční alokace. </w:t>
      </w:r>
    </w:p>
    <w:p w:rsidR="00AC471C" w:rsidRPr="00255082" w:rsidRDefault="00AC471C" w:rsidP="00AC471C">
      <w:pPr>
        <w:spacing w:after="0" w:line="272" w:lineRule="atLeast"/>
        <w:rPr>
          <w:rFonts w:ascii="Times New Roman" w:eastAsia="Times New Roman" w:hAnsi="Times New Roman" w:cs="Times New Roman"/>
          <w:bCs/>
          <w:color w:val="231F20"/>
          <w:sz w:val="24"/>
          <w:szCs w:val="24"/>
        </w:rPr>
      </w:pPr>
    </w:p>
    <w:p w:rsidR="00AC471C" w:rsidRPr="00C031A7" w:rsidRDefault="00AC471C" w:rsidP="00AC471C">
      <w:pPr>
        <w:spacing w:after="0" w:line="272" w:lineRule="atLeast"/>
        <w:rPr>
          <w:rFonts w:ascii="Times New Roman" w:eastAsia="Times New Roman" w:hAnsi="Times New Roman" w:cs="Times New Roman"/>
          <w:b/>
          <w:bCs/>
          <w:color w:val="231F20"/>
          <w:sz w:val="24"/>
          <w:szCs w:val="24"/>
        </w:rPr>
      </w:pPr>
      <w:r w:rsidRPr="00C031A7">
        <w:rPr>
          <w:rFonts w:ascii="Times New Roman" w:eastAsia="Times New Roman" w:hAnsi="Times New Roman" w:cs="Times New Roman"/>
          <w:b/>
          <w:bCs/>
          <w:color w:val="231F20"/>
          <w:sz w:val="24"/>
          <w:szCs w:val="24"/>
        </w:rPr>
        <w:t>Předpokládaný harmonogram postupu prací na přípravě operačního programu:</w:t>
      </w:r>
    </w:p>
    <w:p w:rsidR="00AC471C" w:rsidRPr="00255082" w:rsidRDefault="00AC471C" w:rsidP="00AC471C">
      <w:pPr>
        <w:spacing w:after="0" w:line="272" w:lineRule="atLeast"/>
        <w:rPr>
          <w:rFonts w:ascii="Times New Roman" w:eastAsia="Times New Roman" w:hAnsi="Times New Roman" w:cs="Times New Roman"/>
          <w:bCs/>
          <w:color w:val="231F20"/>
          <w:sz w:val="24"/>
          <w:szCs w:val="24"/>
        </w:rPr>
      </w:pPr>
      <w:r w:rsidRPr="00255082">
        <w:rPr>
          <w:rFonts w:ascii="Times New Roman" w:eastAsia="Times New Roman" w:hAnsi="Times New Roman" w:cs="Times New Roman"/>
          <w:bCs/>
          <w:color w:val="231F20"/>
          <w:sz w:val="24"/>
          <w:szCs w:val="24"/>
        </w:rPr>
        <w:t>3/2013 – první verze návrhu OP</w:t>
      </w:r>
    </w:p>
    <w:p w:rsidR="00AC471C" w:rsidRPr="00255082" w:rsidRDefault="00AC471C" w:rsidP="00AC471C">
      <w:pPr>
        <w:spacing w:after="0" w:line="272" w:lineRule="atLeast"/>
        <w:rPr>
          <w:rFonts w:ascii="Times New Roman" w:eastAsia="Times New Roman" w:hAnsi="Times New Roman" w:cs="Times New Roman"/>
          <w:bCs/>
          <w:color w:val="231F20"/>
          <w:sz w:val="24"/>
          <w:szCs w:val="24"/>
        </w:rPr>
      </w:pPr>
      <w:r w:rsidRPr="00255082">
        <w:rPr>
          <w:rFonts w:ascii="Times New Roman" w:eastAsia="Times New Roman" w:hAnsi="Times New Roman" w:cs="Times New Roman"/>
          <w:bCs/>
          <w:color w:val="231F20"/>
          <w:sz w:val="24"/>
          <w:szCs w:val="24"/>
        </w:rPr>
        <w:t>10/2013 – verze připravená ke schválení vládě ČR</w:t>
      </w:r>
    </w:p>
    <w:p w:rsidR="00AC471C" w:rsidRPr="00E37200" w:rsidRDefault="00AC471C" w:rsidP="00AC471C">
      <w:pPr>
        <w:spacing w:after="0" w:line="272" w:lineRule="atLeast"/>
        <w:rPr>
          <w:rFonts w:ascii="Times New Roman" w:eastAsia="Times New Roman" w:hAnsi="Times New Roman" w:cs="Times New Roman"/>
          <w:bCs/>
          <w:color w:val="231F20"/>
          <w:sz w:val="24"/>
          <w:szCs w:val="24"/>
        </w:rPr>
      </w:pPr>
      <w:r>
        <w:rPr>
          <w:rFonts w:ascii="Times New Roman" w:eastAsia="Times New Roman" w:hAnsi="Times New Roman" w:cs="Times New Roman"/>
          <w:bCs/>
          <w:color w:val="231F20"/>
          <w:sz w:val="24"/>
          <w:szCs w:val="24"/>
        </w:rPr>
        <w:t>d</w:t>
      </w:r>
      <w:r w:rsidRPr="00255082">
        <w:rPr>
          <w:rFonts w:ascii="Times New Roman" w:eastAsia="Times New Roman" w:hAnsi="Times New Roman" w:cs="Times New Roman"/>
          <w:bCs/>
          <w:color w:val="231F20"/>
          <w:sz w:val="24"/>
          <w:szCs w:val="24"/>
        </w:rPr>
        <w:t xml:space="preserve">o konce roku 2013 – schválení OP Evropskou komisí. </w:t>
      </w:r>
    </w:p>
    <w:p w:rsidR="00AC471C" w:rsidRDefault="00AC471C" w:rsidP="00AC471C">
      <w:pPr>
        <w:jc w:val="both"/>
        <w:rPr>
          <w:rFonts w:ascii="Times New Roman" w:hAnsi="Times New Roman" w:cs="Times New Roman"/>
          <w:b/>
          <w:sz w:val="28"/>
          <w:szCs w:val="28"/>
        </w:rPr>
      </w:pPr>
    </w:p>
    <w:p w:rsidR="00AC471C" w:rsidRDefault="00AC471C"/>
    <w:sectPr w:rsidR="00AC47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31" w:rsidRDefault="00120531">
      <w:pPr>
        <w:spacing w:after="0" w:line="240" w:lineRule="auto"/>
      </w:pPr>
      <w:r>
        <w:separator/>
      </w:r>
    </w:p>
  </w:endnote>
  <w:endnote w:type="continuationSeparator" w:id="0">
    <w:p w:rsidR="00120531" w:rsidRDefault="0012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77102"/>
      <w:docPartObj>
        <w:docPartGallery w:val="Page Numbers (Bottom of Page)"/>
        <w:docPartUnique/>
      </w:docPartObj>
    </w:sdtPr>
    <w:sdtEndPr/>
    <w:sdtContent>
      <w:p w:rsidR="000831BD" w:rsidRDefault="0051188F">
        <w:pPr>
          <w:pStyle w:val="Zpat"/>
          <w:jc w:val="right"/>
        </w:pPr>
        <w:r>
          <w:fldChar w:fldCharType="begin"/>
        </w:r>
        <w:r>
          <w:instrText xml:space="preserve"> PAGE   \* MERGEFORMAT </w:instrText>
        </w:r>
        <w:r>
          <w:fldChar w:fldCharType="separate"/>
        </w:r>
        <w:r w:rsidR="00A465DC">
          <w:rPr>
            <w:noProof/>
          </w:rPr>
          <w:t>1</w:t>
        </w:r>
        <w:r>
          <w:rPr>
            <w:noProof/>
          </w:rPr>
          <w:fldChar w:fldCharType="end"/>
        </w:r>
      </w:p>
    </w:sdtContent>
  </w:sdt>
  <w:p w:rsidR="000831BD" w:rsidRDefault="001205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31" w:rsidRDefault="00120531">
      <w:pPr>
        <w:spacing w:after="0" w:line="240" w:lineRule="auto"/>
      </w:pPr>
      <w:r>
        <w:separator/>
      </w:r>
    </w:p>
  </w:footnote>
  <w:footnote w:type="continuationSeparator" w:id="0">
    <w:p w:rsidR="00120531" w:rsidRDefault="00120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BD" w:rsidRPr="004F6377" w:rsidRDefault="00120531" w:rsidP="00456EDC">
    <w:pPr>
      <w:pStyle w:val="Zhlav"/>
      <w:spacing w:line="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335"/>
    <w:multiLevelType w:val="hybridMultilevel"/>
    <w:tmpl w:val="63DA2D3C"/>
    <w:lvl w:ilvl="0" w:tplc="D3FCE082">
      <w:start w:val="1"/>
      <w:numFmt w:val="bullet"/>
      <w:lvlText w:val="•"/>
      <w:lvlJc w:val="left"/>
      <w:pPr>
        <w:tabs>
          <w:tab w:val="num" w:pos="720"/>
        </w:tabs>
        <w:ind w:left="720" w:hanging="360"/>
      </w:pPr>
      <w:rPr>
        <w:rFonts w:ascii="Verdana" w:hAnsi="Verdana" w:hint="default"/>
      </w:rPr>
    </w:lvl>
    <w:lvl w:ilvl="1" w:tplc="78802D06" w:tentative="1">
      <w:start w:val="1"/>
      <w:numFmt w:val="bullet"/>
      <w:lvlText w:val="•"/>
      <w:lvlJc w:val="left"/>
      <w:pPr>
        <w:tabs>
          <w:tab w:val="num" w:pos="1440"/>
        </w:tabs>
        <w:ind w:left="1440" w:hanging="360"/>
      </w:pPr>
      <w:rPr>
        <w:rFonts w:ascii="Verdana" w:hAnsi="Verdana" w:hint="default"/>
      </w:rPr>
    </w:lvl>
    <w:lvl w:ilvl="2" w:tplc="B1185910" w:tentative="1">
      <w:start w:val="1"/>
      <w:numFmt w:val="bullet"/>
      <w:lvlText w:val="•"/>
      <w:lvlJc w:val="left"/>
      <w:pPr>
        <w:tabs>
          <w:tab w:val="num" w:pos="2160"/>
        </w:tabs>
        <w:ind w:left="2160" w:hanging="360"/>
      </w:pPr>
      <w:rPr>
        <w:rFonts w:ascii="Verdana" w:hAnsi="Verdana" w:hint="default"/>
      </w:rPr>
    </w:lvl>
    <w:lvl w:ilvl="3" w:tplc="3530F53A" w:tentative="1">
      <w:start w:val="1"/>
      <w:numFmt w:val="bullet"/>
      <w:lvlText w:val="•"/>
      <w:lvlJc w:val="left"/>
      <w:pPr>
        <w:tabs>
          <w:tab w:val="num" w:pos="2880"/>
        </w:tabs>
        <w:ind w:left="2880" w:hanging="360"/>
      </w:pPr>
      <w:rPr>
        <w:rFonts w:ascii="Verdana" w:hAnsi="Verdana" w:hint="default"/>
      </w:rPr>
    </w:lvl>
    <w:lvl w:ilvl="4" w:tplc="37ECEACC" w:tentative="1">
      <w:start w:val="1"/>
      <w:numFmt w:val="bullet"/>
      <w:lvlText w:val="•"/>
      <w:lvlJc w:val="left"/>
      <w:pPr>
        <w:tabs>
          <w:tab w:val="num" w:pos="3600"/>
        </w:tabs>
        <w:ind w:left="3600" w:hanging="360"/>
      </w:pPr>
      <w:rPr>
        <w:rFonts w:ascii="Verdana" w:hAnsi="Verdana" w:hint="default"/>
      </w:rPr>
    </w:lvl>
    <w:lvl w:ilvl="5" w:tplc="13C603E2" w:tentative="1">
      <w:start w:val="1"/>
      <w:numFmt w:val="bullet"/>
      <w:lvlText w:val="•"/>
      <w:lvlJc w:val="left"/>
      <w:pPr>
        <w:tabs>
          <w:tab w:val="num" w:pos="4320"/>
        </w:tabs>
        <w:ind w:left="4320" w:hanging="360"/>
      </w:pPr>
      <w:rPr>
        <w:rFonts w:ascii="Verdana" w:hAnsi="Verdana" w:hint="default"/>
      </w:rPr>
    </w:lvl>
    <w:lvl w:ilvl="6" w:tplc="4D2874B2" w:tentative="1">
      <w:start w:val="1"/>
      <w:numFmt w:val="bullet"/>
      <w:lvlText w:val="•"/>
      <w:lvlJc w:val="left"/>
      <w:pPr>
        <w:tabs>
          <w:tab w:val="num" w:pos="5040"/>
        </w:tabs>
        <w:ind w:left="5040" w:hanging="360"/>
      </w:pPr>
      <w:rPr>
        <w:rFonts w:ascii="Verdana" w:hAnsi="Verdana" w:hint="default"/>
      </w:rPr>
    </w:lvl>
    <w:lvl w:ilvl="7" w:tplc="2A545B46" w:tentative="1">
      <w:start w:val="1"/>
      <w:numFmt w:val="bullet"/>
      <w:lvlText w:val="•"/>
      <w:lvlJc w:val="left"/>
      <w:pPr>
        <w:tabs>
          <w:tab w:val="num" w:pos="5760"/>
        </w:tabs>
        <w:ind w:left="5760" w:hanging="360"/>
      </w:pPr>
      <w:rPr>
        <w:rFonts w:ascii="Verdana" w:hAnsi="Verdana" w:hint="default"/>
      </w:rPr>
    </w:lvl>
    <w:lvl w:ilvl="8" w:tplc="1B587070" w:tentative="1">
      <w:start w:val="1"/>
      <w:numFmt w:val="bullet"/>
      <w:lvlText w:val="•"/>
      <w:lvlJc w:val="left"/>
      <w:pPr>
        <w:tabs>
          <w:tab w:val="num" w:pos="6480"/>
        </w:tabs>
        <w:ind w:left="6480" w:hanging="360"/>
      </w:pPr>
      <w:rPr>
        <w:rFonts w:ascii="Verdana" w:hAnsi="Verdana" w:hint="default"/>
      </w:rPr>
    </w:lvl>
  </w:abstractNum>
  <w:abstractNum w:abstractNumId="1">
    <w:nsid w:val="294870F0"/>
    <w:multiLevelType w:val="hybridMultilevel"/>
    <w:tmpl w:val="2668B6EC"/>
    <w:lvl w:ilvl="0" w:tplc="01AA57DE">
      <w:numFmt w:val="bullet"/>
      <w:lvlText w:val="-"/>
      <w:lvlJc w:val="left"/>
      <w:pPr>
        <w:tabs>
          <w:tab w:val="num" w:pos="1800"/>
        </w:tabs>
        <w:ind w:left="180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73A96DB8"/>
    <w:multiLevelType w:val="multilevel"/>
    <w:tmpl w:val="BE3483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59773F9"/>
    <w:multiLevelType w:val="hybridMultilevel"/>
    <w:tmpl w:val="E2E4D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A8B730E"/>
    <w:multiLevelType w:val="hybridMultilevel"/>
    <w:tmpl w:val="3C6C5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AF2637D"/>
    <w:multiLevelType w:val="hybridMultilevel"/>
    <w:tmpl w:val="1CA65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BA07BD3"/>
    <w:multiLevelType w:val="hybridMultilevel"/>
    <w:tmpl w:val="40349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1C"/>
    <w:rsid w:val="0000529D"/>
    <w:rsid w:val="00007765"/>
    <w:rsid w:val="00020A3B"/>
    <w:rsid w:val="00021A5E"/>
    <w:rsid w:val="00032DF8"/>
    <w:rsid w:val="0006166E"/>
    <w:rsid w:val="000747A5"/>
    <w:rsid w:val="00084FF7"/>
    <w:rsid w:val="00085ADE"/>
    <w:rsid w:val="000932CC"/>
    <w:rsid w:val="0009587A"/>
    <w:rsid w:val="000977EB"/>
    <w:rsid w:val="000A38CF"/>
    <w:rsid w:val="000A4F07"/>
    <w:rsid w:val="000B37E1"/>
    <w:rsid w:val="000B5B53"/>
    <w:rsid w:val="000B7841"/>
    <w:rsid w:val="000D0975"/>
    <w:rsid w:val="000E4EE8"/>
    <w:rsid w:val="000E6357"/>
    <w:rsid w:val="000F248C"/>
    <w:rsid w:val="000F7855"/>
    <w:rsid w:val="00101A03"/>
    <w:rsid w:val="00102C63"/>
    <w:rsid w:val="001049BC"/>
    <w:rsid w:val="00115583"/>
    <w:rsid w:val="00120531"/>
    <w:rsid w:val="00131239"/>
    <w:rsid w:val="00147623"/>
    <w:rsid w:val="00153C85"/>
    <w:rsid w:val="00153D1B"/>
    <w:rsid w:val="0016187F"/>
    <w:rsid w:val="00162589"/>
    <w:rsid w:val="001658E9"/>
    <w:rsid w:val="00190854"/>
    <w:rsid w:val="00191FDA"/>
    <w:rsid w:val="00192B8F"/>
    <w:rsid w:val="001A3DDC"/>
    <w:rsid w:val="001A796A"/>
    <w:rsid w:val="001E5901"/>
    <w:rsid w:val="001E6D70"/>
    <w:rsid w:val="00200A17"/>
    <w:rsid w:val="00205C2F"/>
    <w:rsid w:val="00212FDE"/>
    <w:rsid w:val="0023150B"/>
    <w:rsid w:val="00237F86"/>
    <w:rsid w:val="002424D2"/>
    <w:rsid w:val="00245E96"/>
    <w:rsid w:val="00261E48"/>
    <w:rsid w:val="0027487F"/>
    <w:rsid w:val="0027495A"/>
    <w:rsid w:val="00287183"/>
    <w:rsid w:val="00294C05"/>
    <w:rsid w:val="00296DCE"/>
    <w:rsid w:val="002A2F21"/>
    <w:rsid w:val="002B67FC"/>
    <w:rsid w:val="002B7D44"/>
    <w:rsid w:val="002C13EC"/>
    <w:rsid w:val="002C1A05"/>
    <w:rsid w:val="002C2A22"/>
    <w:rsid w:val="002C41D6"/>
    <w:rsid w:val="002D60C0"/>
    <w:rsid w:val="002F04CD"/>
    <w:rsid w:val="00303068"/>
    <w:rsid w:val="00305F8C"/>
    <w:rsid w:val="00306FCB"/>
    <w:rsid w:val="00320E78"/>
    <w:rsid w:val="003231C6"/>
    <w:rsid w:val="00325557"/>
    <w:rsid w:val="00326BA4"/>
    <w:rsid w:val="0033012D"/>
    <w:rsid w:val="0033041B"/>
    <w:rsid w:val="00334C0D"/>
    <w:rsid w:val="00344C96"/>
    <w:rsid w:val="003615C5"/>
    <w:rsid w:val="0036404F"/>
    <w:rsid w:val="00376E3A"/>
    <w:rsid w:val="00380E00"/>
    <w:rsid w:val="00386C6C"/>
    <w:rsid w:val="003A1D88"/>
    <w:rsid w:val="003A47AF"/>
    <w:rsid w:val="003A50F7"/>
    <w:rsid w:val="003C4675"/>
    <w:rsid w:val="003C53B5"/>
    <w:rsid w:val="003D0543"/>
    <w:rsid w:val="003D28A1"/>
    <w:rsid w:val="003D6F0D"/>
    <w:rsid w:val="003D6FDF"/>
    <w:rsid w:val="003E16C9"/>
    <w:rsid w:val="003E4203"/>
    <w:rsid w:val="003E48CB"/>
    <w:rsid w:val="003F2A04"/>
    <w:rsid w:val="00411859"/>
    <w:rsid w:val="00411B5C"/>
    <w:rsid w:val="00416210"/>
    <w:rsid w:val="004270A8"/>
    <w:rsid w:val="0042775D"/>
    <w:rsid w:val="00432BD6"/>
    <w:rsid w:val="00434190"/>
    <w:rsid w:val="00451148"/>
    <w:rsid w:val="004576E8"/>
    <w:rsid w:val="0046080F"/>
    <w:rsid w:val="00467A6B"/>
    <w:rsid w:val="00472AC5"/>
    <w:rsid w:val="00483123"/>
    <w:rsid w:val="004862C6"/>
    <w:rsid w:val="004B3257"/>
    <w:rsid w:val="004C37B3"/>
    <w:rsid w:val="004D3ADD"/>
    <w:rsid w:val="004E0923"/>
    <w:rsid w:val="004E3B44"/>
    <w:rsid w:val="004E4AE9"/>
    <w:rsid w:val="0051188F"/>
    <w:rsid w:val="00523085"/>
    <w:rsid w:val="00523674"/>
    <w:rsid w:val="0053674B"/>
    <w:rsid w:val="00547F03"/>
    <w:rsid w:val="00552E52"/>
    <w:rsid w:val="0056212D"/>
    <w:rsid w:val="00565BED"/>
    <w:rsid w:val="00577829"/>
    <w:rsid w:val="005859E0"/>
    <w:rsid w:val="005960B8"/>
    <w:rsid w:val="005A12F8"/>
    <w:rsid w:val="005A649F"/>
    <w:rsid w:val="005B24E0"/>
    <w:rsid w:val="005C1480"/>
    <w:rsid w:val="005C7831"/>
    <w:rsid w:val="005D4F14"/>
    <w:rsid w:val="005F6F0C"/>
    <w:rsid w:val="00600D9C"/>
    <w:rsid w:val="0060596F"/>
    <w:rsid w:val="00606F7A"/>
    <w:rsid w:val="00607087"/>
    <w:rsid w:val="00623BA7"/>
    <w:rsid w:val="00627F79"/>
    <w:rsid w:val="00630BFC"/>
    <w:rsid w:val="00652F28"/>
    <w:rsid w:val="00653625"/>
    <w:rsid w:val="00664979"/>
    <w:rsid w:val="00674FD7"/>
    <w:rsid w:val="00682B7D"/>
    <w:rsid w:val="006944BE"/>
    <w:rsid w:val="006A01BA"/>
    <w:rsid w:val="006A66AF"/>
    <w:rsid w:val="006A79FB"/>
    <w:rsid w:val="006C0D77"/>
    <w:rsid w:val="006C2660"/>
    <w:rsid w:val="006D52AC"/>
    <w:rsid w:val="006F0B20"/>
    <w:rsid w:val="006F4EEC"/>
    <w:rsid w:val="00705721"/>
    <w:rsid w:val="00720FD2"/>
    <w:rsid w:val="00721179"/>
    <w:rsid w:val="007321BA"/>
    <w:rsid w:val="00733284"/>
    <w:rsid w:val="00740FFC"/>
    <w:rsid w:val="007462AF"/>
    <w:rsid w:val="007478BC"/>
    <w:rsid w:val="007515FC"/>
    <w:rsid w:val="00754873"/>
    <w:rsid w:val="00785C08"/>
    <w:rsid w:val="00790EE8"/>
    <w:rsid w:val="00795BE4"/>
    <w:rsid w:val="007A0DD1"/>
    <w:rsid w:val="007A4F34"/>
    <w:rsid w:val="007A640A"/>
    <w:rsid w:val="007B0DAC"/>
    <w:rsid w:val="007B6351"/>
    <w:rsid w:val="007C6AB2"/>
    <w:rsid w:val="007D02CA"/>
    <w:rsid w:val="007E4D66"/>
    <w:rsid w:val="007E6E23"/>
    <w:rsid w:val="007F7008"/>
    <w:rsid w:val="0080217D"/>
    <w:rsid w:val="008062DC"/>
    <w:rsid w:val="00806890"/>
    <w:rsid w:val="00810802"/>
    <w:rsid w:val="00815F3A"/>
    <w:rsid w:val="00820586"/>
    <w:rsid w:val="0083317D"/>
    <w:rsid w:val="00844C6F"/>
    <w:rsid w:val="008461C7"/>
    <w:rsid w:val="0087058F"/>
    <w:rsid w:val="00873F46"/>
    <w:rsid w:val="00881208"/>
    <w:rsid w:val="00881338"/>
    <w:rsid w:val="00884907"/>
    <w:rsid w:val="00886563"/>
    <w:rsid w:val="00886B0B"/>
    <w:rsid w:val="008B263B"/>
    <w:rsid w:val="008B6D94"/>
    <w:rsid w:val="008C5A9D"/>
    <w:rsid w:val="008E019E"/>
    <w:rsid w:val="008E16E0"/>
    <w:rsid w:val="008E7267"/>
    <w:rsid w:val="00905D74"/>
    <w:rsid w:val="00907AF8"/>
    <w:rsid w:val="00913C05"/>
    <w:rsid w:val="0094552A"/>
    <w:rsid w:val="00946CB6"/>
    <w:rsid w:val="00946F6A"/>
    <w:rsid w:val="00952314"/>
    <w:rsid w:val="009731F6"/>
    <w:rsid w:val="00973ED1"/>
    <w:rsid w:val="0099346B"/>
    <w:rsid w:val="0099657F"/>
    <w:rsid w:val="009B1518"/>
    <w:rsid w:val="009B7020"/>
    <w:rsid w:val="009D33FE"/>
    <w:rsid w:val="009E3207"/>
    <w:rsid w:val="00A037DB"/>
    <w:rsid w:val="00A10DBB"/>
    <w:rsid w:val="00A15616"/>
    <w:rsid w:val="00A208F0"/>
    <w:rsid w:val="00A25295"/>
    <w:rsid w:val="00A2587F"/>
    <w:rsid w:val="00A42E3A"/>
    <w:rsid w:val="00A459D9"/>
    <w:rsid w:val="00A465DC"/>
    <w:rsid w:val="00A74AC1"/>
    <w:rsid w:val="00A77BC0"/>
    <w:rsid w:val="00A80A12"/>
    <w:rsid w:val="00A80A75"/>
    <w:rsid w:val="00A816D7"/>
    <w:rsid w:val="00A828B6"/>
    <w:rsid w:val="00A9066A"/>
    <w:rsid w:val="00A93322"/>
    <w:rsid w:val="00AA526E"/>
    <w:rsid w:val="00AB7D86"/>
    <w:rsid w:val="00AC471C"/>
    <w:rsid w:val="00AC6A64"/>
    <w:rsid w:val="00AD00DC"/>
    <w:rsid w:val="00AD46F2"/>
    <w:rsid w:val="00AE10EC"/>
    <w:rsid w:val="00AE11B6"/>
    <w:rsid w:val="00AE4515"/>
    <w:rsid w:val="00AF62E4"/>
    <w:rsid w:val="00AF725D"/>
    <w:rsid w:val="00B01BFD"/>
    <w:rsid w:val="00B0338A"/>
    <w:rsid w:val="00B07BD2"/>
    <w:rsid w:val="00B143D0"/>
    <w:rsid w:val="00B173CF"/>
    <w:rsid w:val="00B33727"/>
    <w:rsid w:val="00B37446"/>
    <w:rsid w:val="00B467E6"/>
    <w:rsid w:val="00B50A89"/>
    <w:rsid w:val="00B52B9C"/>
    <w:rsid w:val="00B57E3A"/>
    <w:rsid w:val="00B67904"/>
    <w:rsid w:val="00BB238D"/>
    <w:rsid w:val="00BB320C"/>
    <w:rsid w:val="00BB3B6D"/>
    <w:rsid w:val="00BC33C3"/>
    <w:rsid w:val="00BC407C"/>
    <w:rsid w:val="00BC765B"/>
    <w:rsid w:val="00BE196D"/>
    <w:rsid w:val="00BE7AE8"/>
    <w:rsid w:val="00BF2801"/>
    <w:rsid w:val="00BF6BF5"/>
    <w:rsid w:val="00C01184"/>
    <w:rsid w:val="00C03A42"/>
    <w:rsid w:val="00C045E1"/>
    <w:rsid w:val="00C05AAC"/>
    <w:rsid w:val="00C14705"/>
    <w:rsid w:val="00C33109"/>
    <w:rsid w:val="00C338A2"/>
    <w:rsid w:val="00C36F09"/>
    <w:rsid w:val="00C5175F"/>
    <w:rsid w:val="00C54F5A"/>
    <w:rsid w:val="00C6271A"/>
    <w:rsid w:val="00C77820"/>
    <w:rsid w:val="00CC6B32"/>
    <w:rsid w:val="00CE05B7"/>
    <w:rsid w:val="00CE09C0"/>
    <w:rsid w:val="00CE13EE"/>
    <w:rsid w:val="00CE18BD"/>
    <w:rsid w:val="00CE7BF2"/>
    <w:rsid w:val="00D036AD"/>
    <w:rsid w:val="00D04CDA"/>
    <w:rsid w:val="00D05312"/>
    <w:rsid w:val="00D12027"/>
    <w:rsid w:val="00D42398"/>
    <w:rsid w:val="00D511DC"/>
    <w:rsid w:val="00D5711A"/>
    <w:rsid w:val="00D63C98"/>
    <w:rsid w:val="00D70292"/>
    <w:rsid w:val="00D87725"/>
    <w:rsid w:val="00D96B0D"/>
    <w:rsid w:val="00D97059"/>
    <w:rsid w:val="00DD09E7"/>
    <w:rsid w:val="00DD3881"/>
    <w:rsid w:val="00DD4230"/>
    <w:rsid w:val="00DD49CC"/>
    <w:rsid w:val="00DE74BA"/>
    <w:rsid w:val="00DF0E80"/>
    <w:rsid w:val="00DF19D7"/>
    <w:rsid w:val="00E0111B"/>
    <w:rsid w:val="00E120F2"/>
    <w:rsid w:val="00E260B6"/>
    <w:rsid w:val="00E464A8"/>
    <w:rsid w:val="00E75894"/>
    <w:rsid w:val="00E816E6"/>
    <w:rsid w:val="00E8650C"/>
    <w:rsid w:val="00E94239"/>
    <w:rsid w:val="00E96ADB"/>
    <w:rsid w:val="00EA2628"/>
    <w:rsid w:val="00EA2F99"/>
    <w:rsid w:val="00EB0C2E"/>
    <w:rsid w:val="00EB7CFC"/>
    <w:rsid w:val="00EC0EE2"/>
    <w:rsid w:val="00EC33E5"/>
    <w:rsid w:val="00ED517B"/>
    <w:rsid w:val="00ED6E5C"/>
    <w:rsid w:val="00EE1DF1"/>
    <w:rsid w:val="00EE322F"/>
    <w:rsid w:val="00EE4372"/>
    <w:rsid w:val="00EE4DC7"/>
    <w:rsid w:val="00F02CC0"/>
    <w:rsid w:val="00F031EB"/>
    <w:rsid w:val="00F14410"/>
    <w:rsid w:val="00F23E9D"/>
    <w:rsid w:val="00F31FE8"/>
    <w:rsid w:val="00F32BC4"/>
    <w:rsid w:val="00F331ED"/>
    <w:rsid w:val="00F34DF3"/>
    <w:rsid w:val="00F37F9F"/>
    <w:rsid w:val="00F51FCA"/>
    <w:rsid w:val="00F5561D"/>
    <w:rsid w:val="00F76F7B"/>
    <w:rsid w:val="00F83758"/>
    <w:rsid w:val="00F86021"/>
    <w:rsid w:val="00F96C5F"/>
    <w:rsid w:val="00FA15FB"/>
    <w:rsid w:val="00FB12EC"/>
    <w:rsid w:val="00FC43C3"/>
    <w:rsid w:val="00FD21F4"/>
    <w:rsid w:val="00FF1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link w:val="Nadpis4Char"/>
    <w:uiPriority w:val="9"/>
    <w:unhideWhenUsed/>
    <w:qFormat/>
    <w:rsid w:val="00AC471C"/>
    <w:pPr>
      <w:keepNext/>
      <w:keepLines/>
      <w:spacing w:before="200" w:after="0"/>
      <w:outlineLvl w:val="3"/>
    </w:pPr>
    <w:rPr>
      <w:rFonts w:asciiTheme="majorHAnsi" w:eastAsiaTheme="majorEastAsia" w:hAnsiTheme="majorHAnsi" w:cstheme="majorBidi"/>
      <w:b/>
      <w:bCs/>
      <w:i/>
      <w:iCs/>
      <w:color w:val="4F81BD" w:themeColor="accent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AC471C"/>
    <w:rPr>
      <w:rFonts w:asciiTheme="majorHAnsi" w:eastAsiaTheme="majorEastAsia" w:hAnsiTheme="majorHAnsi" w:cstheme="majorBidi"/>
      <w:b/>
      <w:bCs/>
      <w:i/>
      <w:iCs/>
      <w:color w:val="4F81BD" w:themeColor="accent1"/>
      <w:lang w:eastAsia="cs-CZ"/>
    </w:rPr>
  </w:style>
  <w:style w:type="paragraph" w:styleId="Odstavecseseznamem">
    <w:name w:val="List Paragraph"/>
    <w:basedOn w:val="Normln"/>
    <w:uiPriority w:val="34"/>
    <w:qFormat/>
    <w:rsid w:val="00AC471C"/>
    <w:pPr>
      <w:spacing w:after="0" w:line="360" w:lineRule="auto"/>
      <w:ind w:left="720" w:firstLine="709"/>
      <w:contextualSpacing/>
    </w:pPr>
    <w:rPr>
      <w:rFonts w:ascii="Arial" w:eastAsiaTheme="minorEastAsia" w:hAnsi="Arial"/>
      <w:lang w:eastAsia="cs-CZ"/>
    </w:rPr>
  </w:style>
  <w:style w:type="paragraph" w:customStyle="1" w:styleId="I-C2podkapitola">
    <w:name w:val="I - C 2.podkapitola"/>
    <w:basedOn w:val="Normln"/>
    <w:link w:val="I-C2podkapitolaChar"/>
    <w:qFormat/>
    <w:rsid w:val="00AC471C"/>
    <w:pPr>
      <w:spacing w:before="600" w:after="360" w:line="240" w:lineRule="auto"/>
      <w:jc w:val="both"/>
    </w:pPr>
    <w:rPr>
      <w:rFonts w:ascii="Times New Roman" w:eastAsia="Times New Roman" w:hAnsi="Times New Roman" w:cs="Times New Roman"/>
      <w:b/>
      <w:bCs/>
      <w:sz w:val="24"/>
      <w:szCs w:val="24"/>
      <w:u w:val="single"/>
      <w:lang w:eastAsia="cs-CZ"/>
    </w:rPr>
  </w:style>
  <w:style w:type="character" w:customStyle="1" w:styleId="I-C2podkapitolaChar">
    <w:name w:val="I - C 2.podkapitola Char"/>
    <w:basedOn w:val="Standardnpsmoodstavce"/>
    <w:link w:val="I-C2podkapitola"/>
    <w:rsid w:val="00AC471C"/>
    <w:rPr>
      <w:rFonts w:ascii="Times New Roman" w:eastAsia="Times New Roman" w:hAnsi="Times New Roman" w:cs="Times New Roman"/>
      <w:b/>
      <w:bCs/>
      <w:sz w:val="24"/>
      <w:szCs w:val="24"/>
      <w:u w:val="single"/>
      <w:lang w:eastAsia="cs-CZ"/>
    </w:rPr>
  </w:style>
  <w:style w:type="paragraph" w:styleId="Zhlav">
    <w:name w:val="header"/>
    <w:basedOn w:val="Normln"/>
    <w:link w:val="ZhlavChar"/>
    <w:unhideWhenUsed/>
    <w:rsid w:val="00AC471C"/>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AC471C"/>
    <w:rPr>
      <w:rFonts w:ascii="Times New Roman" w:eastAsia="Times New Roman" w:hAnsi="Times New Roman" w:cs="Times New Roman"/>
      <w:sz w:val="24"/>
      <w:szCs w:val="24"/>
      <w:lang w:eastAsia="cs-CZ"/>
    </w:rPr>
  </w:style>
  <w:style w:type="paragraph" w:styleId="Zpat">
    <w:name w:val="footer"/>
    <w:basedOn w:val="Normln"/>
    <w:link w:val="ZpatChar"/>
    <w:unhideWhenUsed/>
    <w:rsid w:val="00AC471C"/>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AC471C"/>
    <w:rPr>
      <w:rFonts w:ascii="Times New Roman" w:eastAsia="Times New Roman" w:hAnsi="Times New Roman" w:cs="Times New Roman"/>
      <w:sz w:val="24"/>
      <w:szCs w:val="24"/>
      <w:lang w:eastAsia="cs-CZ"/>
    </w:rPr>
  </w:style>
  <w:style w:type="character" w:styleId="Hypertextovodkaz">
    <w:name w:val="Hyperlink"/>
    <w:basedOn w:val="Standardnpsmoodstavce"/>
    <w:rsid w:val="00AC471C"/>
    <w:rPr>
      <w:color w:val="800000"/>
      <w:u w:val="single"/>
    </w:rPr>
  </w:style>
  <w:style w:type="paragraph" w:styleId="Zkladntext">
    <w:name w:val="Body Text"/>
    <w:basedOn w:val="Normln"/>
    <w:link w:val="ZkladntextChar"/>
    <w:rsid w:val="00AC471C"/>
    <w:pPr>
      <w:overflowPunct w:val="0"/>
      <w:autoSpaceDE w:val="0"/>
      <w:autoSpaceDN w:val="0"/>
      <w:adjustRightInd w:val="0"/>
      <w:spacing w:after="0" w:line="240" w:lineRule="auto"/>
      <w:textAlignment w:val="baseline"/>
    </w:pPr>
    <w:rPr>
      <w:rFonts w:ascii="Times New Roman" w:eastAsia="Times New Roman" w:hAnsi="Times New Roman" w:cs="Times New Roman"/>
      <w:b/>
      <w:sz w:val="144"/>
      <w:szCs w:val="20"/>
      <w:lang w:eastAsia="cs-CZ"/>
    </w:rPr>
  </w:style>
  <w:style w:type="character" w:customStyle="1" w:styleId="ZkladntextChar">
    <w:name w:val="Základní text Char"/>
    <w:basedOn w:val="Standardnpsmoodstavce"/>
    <w:link w:val="Zkladntext"/>
    <w:rsid w:val="00AC471C"/>
    <w:rPr>
      <w:rFonts w:ascii="Times New Roman" w:eastAsia="Times New Roman" w:hAnsi="Times New Roman" w:cs="Times New Roman"/>
      <w:b/>
      <w:sz w:val="144"/>
      <w:szCs w:val="20"/>
      <w:lang w:eastAsia="cs-CZ"/>
    </w:rPr>
  </w:style>
  <w:style w:type="paragraph" w:customStyle="1" w:styleId="AMzkladn">
    <w:name w:val="AM_základní"/>
    <w:basedOn w:val="Normln"/>
    <w:rsid w:val="00AC471C"/>
    <w:pPr>
      <w:numPr>
        <w:ilvl w:val="12"/>
      </w:numPr>
      <w:tabs>
        <w:tab w:val="left" w:pos="425"/>
        <w:tab w:val="left" w:pos="709"/>
        <w:tab w:val="left" w:pos="851"/>
        <w:tab w:val="left" w:pos="1021"/>
        <w:tab w:val="left" w:pos="1134"/>
        <w:tab w:val="left" w:pos="2268"/>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link w:val="Nadpis4Char"/>
    <w:uiPriority w:val="9"/>
    <w:unhideWhenUsed/>
    <w:qFormat/>
    <w:rsid w:val="00AC471C"/>
    <w:pPr>
      <w:keepNext/>
      <w:keepLines/>
      <w:spacing w:before="200" w:after="0"/>
      <w:outlineLvl w:val="3"/>
    </w:pPr>
    <w:rPr>
      <w:rFonts w:asciiTheme="majorHAnsi" w:eastAsiaTheme="majorEastAsia" w:hAnsiTheme="majorHAnsi" w:cstheme="majorBidi"/>
      <w:b/>
      <w:bCs/>
      <w:i/>
      <w:iCs/>
      <w:color w:val="4F81BD" w:themeColor="accent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AC471C"/>
    <w:rPr>
      <w:rFonts w:asciiTheme="majorHAnsi" w:eastAsiaTheme="majorEastAsia" w:hAnsiTheme="majorHAnsi" w:cstheme="majorBidi"/>
      <w:b/>
      <w:bCs/>
      <w:i/>
      <w:iCs/>
      <w:color w:val="4F81BD" w:themeColor="accent1"/>
      <w:lang w:eastAsia="cs-CZ"/>
    </w:rPr>
  </w:style>
  <w:style w:type="paragraph" w:styleId="Odstavecseseznamem">
    <w:name w:val="List Paragraph"/>
    <w:basedOn w:val="Normln"/>
    <w:uiPriority w:val="34"/>
    <w:qFormat/>
    <w:rsid w:val="00AC471C"/>
    <w:pPr>
      <w:spacing w:after="0" w:line="360" w:lineRule="auto"/>
      <w:ind w:left="720" w:firstLine="709"/>
      <w:contextualSpacing/>
    </w:pPr>
    <w:rPr>
      <w:rFonts w:ascii="Arial" w:eastAsiaTheme="minorEastAsia" w:hAnsi="Arial"/>
      <w:lang w:eastAsia="cs-CZ"/>
    </w:rPr>
  </w:style>
  <w:style w:type="paragraph" w:customStyle="1" w:styleId="I-C2podkapitola">
    <w:name w:val="I - C 2.podkapitola"/>
    <w:basedOn w:val="Normln"/>
    <w:link w:val="I-C2podkapitolaChar"/>
    <w:qFormat/>
    <w:rsid w:val="00AC471C"/>
    <w:pPr>
      <w:spacing w:before="600" w:after="360" w:line="240" w:lineRule="auto"/>
      <w:jc w:val="both"/>
    </w:pPr>
    <w:rPr>
      <w:rFonts w:ascii="Times New Roman" w:eastAsia="Times New Roman" w:hAnsi="Times New Roman" w:cs="Times New Roman"/>
      <w:b/>
      <w:bCs/>
      <w:sz w:val="24"/>
      <w:szCs w:val="24"/>
      <w:u w:val="single"/>
      <w:lang w:eastAsia="cs-CZ"/>
    </w:rPr>
  </w:style>
  <w:style w:type="character" w:customStyle="1" w:styleId="I-C2podkapitolaChar">
    <w:name w:val="I - C 2.podkapitola Char"/>
    <w:basedOn w:val="Standardnpsmoodstavce"/>
    <w:link w:val="I-C2podkapitola"/>
    <w:rsid w:val="00AC471C"/>
    <w:rPr>
      <w:rFonts w:ascii="Times New Roman" w:eastAsia="Times New Roman" w:hAnsi="Times New Roman" w:cs="Times New Roman"/>
      <w:b/>
      <w:bCs/>
      <w:sz w:val="24"/>
      <w:szCs w:val="24"/>
      <w:u w:val="single"/>
      <w:lang w:eastAsia="cs-CZ"/>
    </w:rPr>
  </w:style>
  <w:style w:type="paragraph" w:styleId="Zhlav">
    <w:name w:val="header"/>
    <w:basedOn w:val="Normln"/>
    <w:link w:val="ZhlavChar"/>
    <w:unhideWhenUsed/>
    <w:rsid w:val="00AC471C"/>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AC471C"/>
    <w:rPr>
      <w:rFonts w:ascii="Times New Roman" w:eastAsia="Times New Roman" w:hAnsi="Times New Roman" w:cs="Times New Roman"/>
      <w:sz w:val="24"/>
      <w:szCs w:val="24"/>
      <w:lang w:eastAsia="cs-CZ"/>
    </w:rPr>
  </w:style>
  <w:style w:type="paragraph" w:styleId="Zpat">
    <w:name w:val="footer"/>
    <w:basedOn w:val="Normln"/>
    <w:link w:val="ZpatChar"/>
    <w:unhideWhenUsed/>
    <w:rsid w:val="00AC471C"/>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AC471C"/>
    <w:rPr>
      <w:rFonts w:ascii="Times New Roman" w:eastAsia="Times New Roman" w:hAnsi="Times New Roman" w:cs="Times New Roman"/>
      <w:sz w:val="24"/>
      <w:szCs w:val="24"/>
      <w:lang w:eastAsia="cs-CZ"/>
    </w:rPr>
  </w:style>
  <w:style w:type="character" w:styleId="Hypertextovodkaz">
    <w:name w:val="Hyperlink"/>
    <w:basedOn w:val="Standardnpsmoodstavce"/>
    <w:rsid w:val="00AC471C"/>
    <w:rPr>
      <w:color w:val="800000"/>
      <w:u w:val="single"/>
    </w:rPr>
  </w:style>
  <w:style w:type="paragraph" w:styleId="Zkladntext">
    <w:name w:val="Body Text"/>
    <w:basedOn w:val="Normln"/>
    <w:link w:val="ZkladntextChar"/>
    <w:rsid w:val="00AC471C"/>
    <w:pPr>
      <w:overflowPunct w:val="0"/>
      <w:autoSpaceDE w:val="0"/>
      <w:autoSpaceDN w:val="0"/>
      <w:adjustRightInd w:val="0"/>
      <w:spacing w:after="0" w:line="240" w:lineRule="auto"/>
      <w:textAlignment w:val="baseline"/>
    </w:pPr>
    <w:rPr>
      <w:rFonts w:ascii="Times New Roman" w:eastAsia="Times New Roman" w:hAnsi="Times New Roman" w:cs="Times New Roman"/>
      <w:b/>
      <w:sz w:val="144"/>
      <w:szCs w:val="20"/>
      <w:lang w:eastAsia="cs-CZ"/>
    </w:rPr>
  </w:style>
  <w:style w:type="character" w:customStyle="1" w:styleId="ZkladntextChar">
    <w:name w:val="Základní text Char"/>
    <w:basedOn w:val="Standardnpsmoodstavce"/>
    <w:link w:val="Zkladntext"/>
    <w:rsid w:val="00AC471C"/>
    <w:rPr>
      <w:rFonts w:ascii="Times New Roman" w:eastAsia="Times New Roman" w:hAnsi="Times New Roman" w:cs="Times New Roman"/>
      <w:b/>
      <w:sz w:val="144"/>
      <w:szCs w:val="20"/>
      <w:lang w:eastAsia="cs-CZ"/>
    </w:rPr>
  </w:style>
  <w:style w:type="paragraph" w:customStyle="1" w:styleId="AMzkladn">
    <w:name w:val="AM_základní"/>
    <w:basedOn w:val="Normln"/>
    <w:rsid w:val="00AC471C"/>
    <w:pPr>
      <w:numPr>
        <w:ilvl w:val="12"/>
      </w:numPr>
      <w:tabs>
        <w:tab w:val="left" w:pos="425"/>
        <w:tab w:val="left" w:pos="709"/>
        <w:tab w:val="left" w:pos="851"/>
        <w:tab w:val="left" w:pos="1021"/>
        <w:tab w:val="left" w:pos="1134"/>
        <w:tab w:val="left" w:pos="2268"/>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6273</Words>
  <Characters>37011</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Vladka</dc:creator>
  <cp:lastModifiedBy>Vladka</cp:lastModifiedBy>
  <cp:revision>2</cp:revision>
  <dcterms:created xsi:type="dcterms:W3CDTF">2013-05-01T16:13:00Z</dcterms:created>
  <dcterms:modified xsi:type="dcterms:W3CDTF">2013-05-01T16:13:00Z</dcterms:modified>
</cp:coreProperties>
</file>