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D" w:rsidRDefault="007837CD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93ACD2E" wp14:editId="2B2B4C37">
            <wp:extent cx="695325" cy="781050"/>
            <wp:effectExtent l="0" t="0" r="9525" b="0"/>
            <wp:docPr id="1" name="Obrázek 1" descr="cid:image003.jpg@01CEF7EA.3EB0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3.jpg@01CEF7EA.3EB04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68" w:rsidRDefault="00C42F6E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6E">
        <w:rPr>
          <w:rFonts w:ascii="Times New Roman" w:hAnsi="Times New Roman" w:cs="Times New Roman"/>
          <w:b/>
          <w:sz w:val="24"/>
          <w:szCs w:val="24"/>
        </w:rPr>
        <w:t>Zápis k vyúčtování finančních prostředků poskytnutých MČ Praha 20 v rámci dotačního programu pro rok 2015</w:t>
      </w:r>
    </w:p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42F6E" w:rsidTr="008A56CD">
        <w:tc>
          <w:tcPr>
            <w:tcW w:w="4077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kontrolovaného subjektu</w:t>
            </w:r>
          </w:p>
          <w:p w:rsidR="00C42F6E" w:rsidRPr="00734FAE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34FAE" w:rsidRPr="00BA7C56" w:rsidRDefault="00571F2D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Divadelní sdružení Horních Počernic</w:t>
            </w:r>
          </w:p>
        </w:tc>
      </w:tr>
      <w:tr w:rsidR="00C42F6E" w:rsidTr="008A56CD">
        <w:tc>
          <w:tcPr>
            <w:tcW w:w="4077" w:type="dxa"/>
          </w:tcPr>
          <w:p w:rsidR="00734FAE" w:rsidRPr="00734FAE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AE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č. smlouvy</w:t>
            </w:r>
          </w:p>
        </w:tc>
        <w:tc>
          <w:tcPr>
            <w:tcW w:w="5135" w:type="dxa"/>
          </w:tcPr>
          <w:p w:rsidR="00BA7C56" w:rsidRDefault="002F5BF0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F0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="00571F2D">
              <w:rPr>
                <w:rFonts w:ascii="Times New Roman" w:hAnsi="Times New Roman" w:cs="Times New Roman"/>
                <w:sz w:val="24"/>
                <w:szCs w:val="24"/>
              </w:rPr>
              <w:t>celoroční činnost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56" w:rsidRPr="00BA7C56" w:rsidRDefault="00571F2D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S/30/2015/0016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6E" w:rsidRPr="008A56CD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6E" w:rsidTr="008A56CD">
        <w:tc>
          <w:tcPr>
            <w:tcW w:w="4077" w:type="dxa"/>
          </w:tcPr>
          <w:p w:rsidR="00C42F6E" w:rsidRPr="00734FAE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období</w:t>
            </w:r>
          </w:p>
        </w:tc>
        <w:tc>
          <w:tcPr>
            <w:tcW w:w="5135" w:type="dxa"/>
          </w:tcPr>
          <w:p w:rsidR="00734FAE" w:rsidRDefault="00AF6CC9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7C56" w:rsidTr="008A56CD">
        <w:tc>
          <w:tcPr>
            <w:tcW w:w="4077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uskutečnění kontroly</w:t>
            </w:r>
          </w:p>
        </w:tc>
        <w:tc>
          <w:tcPr>
            <w:tcW w:w="5135" w:type="dxa"/>
          </w:tcPr>
          <w:p w:rsidR="00BA7C56" w:rsidRDefault="00571F2D" w:rsidP="00E12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10. 3</w:t>
            </w:r>
            <w:r w:rsidR="002F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2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C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 kontroly</w:t>
            </w:r>
          </w:p>
        </w:tc>
        <w:tc>
          <w:tcPr>
            <w:tcW w:w="5135" w:type="dxa"/>
          </w:tcPr>
          <w:p w:rsidR="00AF6CC9" w:rsidRDefault="00634AE7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veřejnosprávní kontrola závěrečného vyúčtování poskytnuté dotace pro</w:t>
            </w:r>
            <w:r w:rsidR="00571F2D">
              <w:rPr>
                <w:rFonts w:ascii="Times New Roman" w:hAnsi="Times New Roman" w:cs="Times New Roman"/>
                <w:sz w:val="24"/>
                <w:szCs w:val="24"/>
              </w:rPr>
              <w:t xml:space="preserve"> rok 2015 v celkové výši 124.751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  <w:p w:rsidR="00634AE7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dodržení účelu a uznatelnosti výdajů</w:t>
            </w:r>
          </w:p>
          <w:p w:rsidR="0060157E" w:rsidRDefault="00FE2406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náležitosti účetních dokladů</w:t>
            </w:r>
          </w:p>
          <w:p w:rsidR="0060157E" w:rsidRPr="0060157E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Kontrolu provedl</w:t>
            </w:r>
          </w:p>
        </w:tc>
        <w:tc>
          <w:tcPr>
            <w:tcW w:w="5135" w:type="dxa"/>
          </w:tcPr>
          <w:p w:rsidR="008461F3" w:rsidRDefault="008461F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ekonomický</w:t>
            </w:r>
          </w:p>
          <w:p w:rsidR="00AF6CC9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 Horáková</w:t>
            </w:r>
          </w:p>
          <w:p w:rsidR="008461F3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OE</w:t>
            </w:r>
          </w:p>
        </w:tc>
      </w:tr>
      <w:tr w:rsidR="00634AE7" w:rsidTr="008A56CD">
        <w:tc>
          <w:tcPr>
            <w:tcW w:w="4077" w:type="dxa"/>
          </w:tcPr>
          <w:p w:rsidR="00634AE7" w:rsidRDefault="00634AE7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Platná legislativa</w:t>
            </w:r>
          </w:p>
        </w:tc>
        <w:tc>
          <w:tcPr>
            <w:tcW w:w="5135" w:type="dxa"/>
          </w:tcPr>
          <w:p w:rsidR="00AE74DF" w:rsidRDefault="00AE74DF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č. 250/2000 Sb., 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č. 320/2001 Sb., o finanční kontrole ve veřejné správě a o změně některých zákonů (zákon o finanční kontrole), ve znění pozdějších předpisů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Vyhláška č. 416/2004 Sb., kterou se provádí zákon č. 320/2001 Sb., o finanční kontrole, ve znění pozdějších předpisů</w:t>
            </w:r>
          </w:p>
          <w:p w:rsidR="00634AE7" w:rsidRDefault="002C69D9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o účetnictví č. 563/1991 Sb.</w:t>
            </w:r>
          </w:p>
          <w:p w:rsidR="008F336C" w:rsidRPr="002C69D9" w:rsidRDefault="00B12E9E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směrnice Finanční </w:t>
            </w:r>
            <w:r w:rsidR="0062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(IA), účinná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1.6.2015</w:t>
            </w:r>
            <w:proofErr w:type="gramEnd"/>
          </w:p>
        </w:tc>
      </w:tr>
    </w:tbl>
    <w:p w:rsidR="00C42F6E" w:rsidRPr="00C44024" w:rsidRDefault="00C42F6E" w:rsidP="00C42F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ED9" w:rsidTr="009B7ED9">
        <w:tc>
          <w:tcPr>
            <w:tcW w:w="9212" w:type="dxa"/>
          </w:tcPr>
          <w:p w:rsidR="009B7ED9" w:rsidRPr="009B7ED9" w:rsidRDefault="009B7ED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D9">
              <w:rPr>
                <w:rFonts w:ascii="Times New Roman" w:hAnsi="Times New Roman" w:cs="Times New Roman"/>
                <w:b/>
                <w:sz w:val="24"/>
                <w:szCs w:val="24"/>
              </w:rPr>
              <w:t>Výsledek kontroly</w:t>
            </w:r>
          </w:p>
          <w:p w:rsidR="009B7ED9" w:rsidRPr="00C44024" w:rsidRDefault="009B7ED9" w:rsidP="00C42F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ED9" w:rsidRDefault="009E0CA4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kontrole vyúčtování byly zjištěny následující nedostatky:</w:t>
            </w:r>
          </w:p>
          <w:p w:rsidR="00AB71A1" w:rsidRPr="00AB71A1" w:rsidRDefault="00166FCC" w:rsidP="00AB71A1">
            <w:pPr>
              <w:pStyle w:val="Zkladntext"/>
              <w:numPr>
                <w:ilvl w:val="0"/>
               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Chybné členění nákladů (není v souladu s žádostí) - v</w:t>
            </w:r>
            <w:r w:rsidR="00AB71A1" w:rsidRPr="00AB71A1">
              <w:rPr>
                <w:szCs w:val="24"/>
              </w:rPr>
              <w:t xml:space="preserve">ětšina vyúčtovaných nákladů je zahrnuta pod jednotný druh nákladu a to náklady produkční. Produkční náklady jsou náklady, které obsahují několik typově různých nákladů jako např. kostýmy, kulisy, laky na vlasy, občerstvení, košíky, doplňky ke kostýmu  apod. a každá z těchto položek spadá pod jiný nákladový druh (viz rozpočet projektu a jeho rozčlenění dle nákladových druhů). Je skutečně nutné, aby jednotlivé druhy nákladů byly dodrženy, </w:t>
            </w:r>
            <w:r w:rsidR="00AB71A1" w:rsidRPr="00AB71A1">
              <w:rPr>
                <w:szCs w:val="24"/>
              </w:rPr>
              <w:lastRenderedPageBreak/>
              <w:t>tj. nelze uznat jen „produkční náklady“ je nutné je rozdělit tak, aby odpovídaly jednotlivým druhům nákladu ve Vámi zaslané žádosti, resp. skladbě rozpočtu tj. Materiálové náklady v členění na kostýmy, rekvizity, výroba scény atd. …, dále Nemateriálové náklady: programy, dále pak Osobní náklady: budou nejspíš nulové. Tato povinnost Vám vyplývá ze Zásad o poskytování grantu 2015 v oblasti kultury a uzavřené Veřejnoprávní smlouvy.</w:t>
            </w:r>
          </w:p>
          <w:p w:rsidR="00AB71A1" w:rsidRPr="00AB71A1" w:rsidRDefault="00166FCC" w:rsidP="00AB71A1">
            <w:pPr>
              <w:pStyle w:val="Zkladntext"/>
              <w:numPr>
                <w:ilvl w:val="0"/>
               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Nepřehlednost ve v</w:t>
            </w:r>
            <w:r w:rsidR="00AB71A1" w:rsidRPr="00AB71A1">
              <w:rPr>
                <w:szCs w:val="24"/>
              </w:rPr>
              <w:t xml:space="preserve">yúčtování </w:t>
            </w:r>
            <w:r>
              <w:rPr>
                <w:szCs w:val="24"/>
              </w:rPr>
              <w:t>– návrh na provedení vyúčtování tak</w:t>
            </w:r>
            <w:r w:rsidR="00AB71A1" w:rsidRPr="00AB71A1">
              <w:rPr>
                <w:szCs w:val="24"/>
              </w:rPr>
              <w:t>, aby bylo jasné, kterého představení se týká, kdy a kde se uskutečnilo, případně i fotodokumentace apod. tak, aby bylo jednoznačně prokazatelné, že došlo k uskutečnění/realizaci představení, nebo že došlo k nastudování daného představení.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Z výše uvedeného navrhuji vyúčtování připravit následovně: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Název představení: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Místo a datum konání: musí být dle zásad na území MČ Praha 20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Náklady v rozdělení: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 xml:space="preserve">Materiálové </w:t>
            </w:r>
          </w:p>
          <w:p w:rsidR="00AB71A1" w:rsidRPr="00AB71A1" w:rsidRDefault="00AB71A1" w:rsidP="00AB71A1">
            <w:pPr>
              <w:pStyle w:val="Zkladntext"/>
              <w:numPr>
                <w:ilvl w:val="0"/>
                <w:numId w:val="7"/>
              </w:numPr>
              <w:spacing w:before="120"/>
              <w:rPr>
                <w:szCs w:val="24"/>
              </w:rPr>
            </w:pPr>
            <w:r w:rsidRPr="00AB71A1">
              <w:rPr>
                <w:szCs w:val="24"/>
              </w:rPr>
              <w:t>kostýmy</w:t>
            </w:r>
          </w:p>
          <w:p w:rsidR="00AB71A1" w:rsidRPr="00AB71A1" w:rsidRDefault="00AB71A1" w:rsidP="00AB71A1">
            <w:pPr>
              <w:pStyle w:val="Zkladntext"/>
              <w:numPr>
                <w:ilvl w:val="0"/>
                <w:numId w:val="7"/>
              </w:numPr>
              <w:spacing w:before="120"/>
              <w:rPr>
                <w:szCs w:val="24"/>
              </w:rPr>
            </w:pPr>
            <w:r w:rsidRPr="00AB71A1">
              <w:rPr>
                <w:szCs w:val="24"/>
              </w:rPr>
              <w:t>rekvizity, výroba scény</w:t>
            </w:r>
          </w:p>
          <w:p w:rsidR="00AB71A1" w:rsidRPr="00AB71A1" w:rsidRDefault="00AB71A1" w:rsidP="00AB71A1">
            <w:pPr>
              <w:pStyle w:val="Zkladntext"/>
              <w:numPr>
                <w:ilvl w:val="0"/>
                <w:numId w:val="7"/>
              </w:numPr>
              <w:spacing w:before="120"/>
              <w:rPr>
                <w:szCs w:val="24"/>
              </w:rPr>
            </w:pPr>
            <w:r w:rsidRPr="00AB71A1">
              <w:rPr>
                <w:szCs w:val="24"/>
              </w:rPr>
              <w:t xml:space="preserve">oprava a údržba </w:t>
            </w:r>
            <w:proofErr w:type="spellStart"/>
            <w:r w:rsidRPr="00AB71A1">
              <w:rPr>
                <w:szCs w:val="24"/>
              </w:rPr>
              <w:t>fundusu</w:t>
            </w:r>
            <w:proofErr w:type="spellEnd"/>
          </w:p>
          <w:p w:rsidR="00AB71A1" w:rsidRPr="00AB71A1" w:rsidRDefault="00AB71A1" w:rsidP="00AB71A1">
            <w:pPr>
              <w:pStyle w:val="Zkladntext"/>
              <w:numPr>
                <w:ilvl w:val="0"/>
                <w:numId w:val="7"/>
              </w:numPr>
              <w:spacing w:before="120"/>
              <w:rPr>
                <w:szCs w:val="24"/>
              </w:rPr>
            </w:pPr>
            <w:r w:rsidRPr="00AB71A1">
              <w:rPr>
                <w:szCs w:val="24"/>
              </w:rPr>
              <w:t>ostatní (kancelářské potřeby)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Nemateriálové (opět viz rozpočet)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Osobní (opět viz rozpočet)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 w:rsidRPr="00AB71A1">
              <w:rPr>
                <w:szCs w:val="24"/>
              </w:rPr>
              <w:t>Celkem:</w:t>
            </w:r>
          </w:p>
          <w:p w:rsidR="00AB71A1" w:rsidRPr="00AB71A1" w:rsidRDefault="00166FCC" w:rsidP="00AB71A1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>Případně necháváme na příjemci.</w:t>
            </w:r>
          </w:p>
          <w:p w:rsidR="00AB71A1" w:rsidRPr="00AB71A1" w:rsidRDefault="00D3382D" w:rsidP="00AB71A1">
            <w:pPr>
              <w:pStyle w:val="Zkladntext"/>
              <w:numPr>
                <w:ilvl w:val="0"/>
               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Nečitelné doklady – požadavek na doplnění čitelných kopií dokladů</w:t>
            </w:r>
            <w:r w:rsidR="00AB71A1" w:rsidRPr="00AB71A1">
              <w:rPr>
                <w:szCs w:val="24"/>
              </w:rPr>
              <w:t>. Dost často se doklady překrývají, není čitelné</w:t>
            </w:r>
            <w:r>
              <w:rPr>
                <w:szCs w:val="24"/>
              </w:rPr>
              <w:t>,</w:t>
            </w:r>
            <w:r w:rsidR="00AB71A1" w:rsidRPr="00AB71A1">
              <w:rPr>
                <w:szCs w:val="24"/>
              </w:rPr>
              <w:t xml:space="preserve"> o jakou položku se jedná, není čitelný datum </w:t>
            </w:r>
            <w:proofErr w:type="gramStart"/>
            <w:r w:rsidR="00AB71A1" w:rsidRPr="00AB71A1">
              <w:rPr>
                <w:szCs w:val="24"/>
              </w:rPr>
              <w:t>apod..</w:t>
            </w:r>
            <w:proofErr w:type="gramEnd"/>
          </w:p>
          <w:p w:rsidR="00AB71A1" w:rsidRPr="00AB71A1" w:rsidRDefault="00530F9A" w:rsidP="00AB71A1">
            <w:pPr>
              <w:pStyle w:val="Zkladntext"/>
              <w:numPr>
                <w:ilvl w:val="0"/>
               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Prokazatelnost odtoku/úhrady nákladu – nejsou kompletně přiloženy výpisy apod. k fakturám</w:t>
            </w:r>
            <w:r w:rsidR="00AB71A1" w:rsidRPr="00AB71A1">
              <w:rPr>
                <w:szCs w:val="24"/>
              </w:rPr>
              <w:t xml:space="preserve"> (chybí např. u </w:t>
            </w:r>
            <w:proofErr w:type="gramStart"/>
            <w:r w:rsidR="00AB71A1" w:rsidRPr="00AB71A1">
              <w:rPr>
                <w:szCs w:val="24"/>
              </w:rPr>
              <w:t>Moravská</w:t>
            </w:r>
            <w:proofErr w:type="gramEnd"/>
            <w:r w:rsidR="00AB71A1" w:rsidRPr="00AB71A1">
              <w:rPr>
                <w:szCs w:val="24"/>
              </w:rPr>
              <w:t xml:space="preserve"> ústředna Brno ve výši 588,- Kč), pokud byla hrazena dobírkou je nutné mít doklad o úhradě.</w:t>
            </w:r>
          </w:p>
          <w:p w:rsidR="00AB71A1" w:rsidRPr="00AB71A1" w:rsidRDefault="00066E99" w:rsidP="00AB71A1">
            <w:pPr>
              <w:pStyle w:val="Zkladntext"/>
              <w:numPr>
                <w:ilvl w:val="0"/>
               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Prokázání nezbytně nutných výdajů -</w:t>
            </w:r>
            <w:r w:rsidR="00AB71A1" w:rsidRPr="00AB71A1">
              <w:rPr>
                <w:szCs w:val="24"/>
              </w:rPr>
              <w:t xml:space="preserve"> paragony na metráž, látky apod., dále pak doplňky jako kabelky, klobouky </w:t>
            </w:r>
            <w:proofErr w:type="spellStart"/>
            <w:r w:rsidR="00AB71A1" w:rsidRPr="00AB71A1">
              <w:rPr>
                <w:szCs w:val="24"/>
              </w:rPr>
              <w:t>atd</w:t>
            </w:r>
            <w:proofErr w:type="spellEnd"/>
            <w:r w:rsidR="00AB71A1" w:rsidRPr="00AB71A1">
              <w:rPr>
                <w:szCs w:val="24"/>
              </w:rPr>
              <w:t>… zde je nutné uvést, že se jedná o nezbytně nutný náklad na projekt/představení protože je např. součástí kulis, kostýmu apod.</w:t>
            </w:r>
          </w:p>
          <w:p w:rsidR="00AB71A1" w:rsidRPr="00AB71A1" w:rsidRDefault="00AB71A1" w:rsidP="00AB71A1">
            <w:pPr>
              <w:pStyle w:val="Zkladntext"/>
              <w:numPr>
                <w:ilvl w:val="0"/>
                <w:numId w:val="6"/>
              </w:numPr>
              <w:spacing w:before="120"/>
              <w:rPr>
                <w:szCs w:val="24"/>
              </w:rPr>
            </w:pPr>
            <w:r w:rsidRPr="00AB71A1">
              <w:rPr>
                <w:szCs w:val="24"/>
              </w:rPr>
              <w:t xml:space="preserve">Faktura č. 1/2015 od </w:t>
            </w:r>
            <w:proofErr w:type="gramStart"/>
            <w:r w:rsidRPr="00AB71A1">
              <w:rPr>
                <w:szCs w:val="24"/>
              </w:rPr>
              <w:t>Eva</w:t>
            </w:r>
            <w:proofErr w:type="gramEnd"/>
            <w:r w:rsidRPr="00AB71A1">
              <w:rPr>
                <w:szCs w:val="24"/>
              </w:rPr>
              <w:t xml:space="preserve"> </w:t>
            </w:r>
            <w:proofErr w:type="spellStart"/>
            <w:r w:rsidRPr="00AB71A1">
              <w:rPr>
                <w:szCs w:val="24"/>
              </w:rPr>
              <w:t>Klačková</w:t>
            </w:r>
            <w:proofErr w:type="spellEnd"/>
            <w:r w:rsidRPr="00AB71A1">
              <w:rPr>
                <w:szCs w:val="24"/>
              </w:rPr>
              <w:t xml:space="preserve"> neodpovídá, resp. nesplňuje náležitosti daňového dokladu. Daňový doklad by měl mít určitou formu (převážně tištěnou) a následně povinné náležitosti mohou být vyplněny ručně, ale i kdybychom akceptovali tuto ručně vypsanou, chybí razítko firmy (podnikatelky) a to je jedna z povinných náležitostí daňového dokladu. </w:t>
            </w:r>
            <w:r w:rsidR="00745F7D">
              <w:rPr>
                <w:szCs w:val="24"/>
              </w:rPr>
              <w:t xml:space="preserve">Přiložený ručně napsaný </w:t>
            </w:r>
            <w:r w:rsidRPr="00AB71A1">
              <w:rPr>
                <w:szCs w:val="24"/>
              </w:rPr>
              <w:t xml:space="preserve">list papíru bohužel nelze akceptovat jako platný daňový doklad. </w:t>
            </w:r>
            <w:r w:rsidR="00745F7D">
              <w:rPr>
                <w:szCs w:val="24"/>
              </w:rPr>
              <w:t>Lze si vyžádat nový doklad, případně nahradit dokladem jiným tak, aby odpovídal účelově vynaloženým nákladům.</w:t>
            </w:r>
          </w:p>
          <w:p w:rsidR="00AB71A1" w:rsidRPr="00AB71A1" w:rsidRDefault="00AB71A1" w:rsidP="00AB71A1">
            <w:pPr>
              <w:pStyle w:val="Zkladntext"/>
              <w:spacing w:before="120"/>
              <w:ind w:left="720"/>
              <w:rPr>
                <w:szCs w:val="24"/>
              </w:rPr>
            </w:pPr>
          </w:p>
          <w:p w:rsidR="009B7ED9" w:rsidRDefault="009B7ED9" w:rsidP="00531199">
            <w:pPr>
              <w:pStyle w:val="Zkladntext"/>
              <w:spacing w:before="120"/>
              <w:ind w:left="720"/>
              <w:rPr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C2D" w:rsidTr="00971C2D">
        <w:tc>
          <w:tcPr>
            <w:tcW w:w="9212" w:type="dxa"/>
          </w:tcPr>
          <w:p w:rsidR="00971C2D" w:rsidRDefault="00971C2D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Závěr</w:t>
            </w:r>
          </w:p>
          <w:p w:rsidR="00197D53" w:rsidRPr="00971C2D" w:rsidRDefault="00197D53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C2D" w:rsidRDefault="00197D5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Zatím nebylo ze</w:t>
            </w:r>
            <w:r w:rsidR="00AA0CB6">
              <w:rPr>
                <w:rFonts w:ascii="Times New Roman" w:hAnsi="Times New Roman" w:cs="Times New Roman"/>
                <w:sz w:val="24"/>
                <w:szCs w:val="24"/>
              </w:rPr>
              <w:t xml:space="preserve"> strany </w:t>
            </w:r>
            <w:r w:rsidR="00E1390A">
              <w:rPr>
                <w:rFonts w:ascii="Times New Roman" w:hAnsi="Times New Roman" w:cs="Times New Roman"/>
                <w:sz w:val="24"/>
                <w:szCs w:val="24"/>
              </w:rPr>
              <w:t xml:space="preserve">DS HP dodáno, nicméně komunikujeme s pí Ptáčkovou a dodá do pátku </w:t>
            </w:r>
            <w:proofErr w:type="gramStart"/>
            <w:r w:rsidR="00E1390A">
              <w:rPr>
                <w:rFonts w:ascii="Times New Roman" w:hAnsi="Times New Roman" w:cs="Times New Roman"/>
                <w:sz w:val="24"/>
                <w:szCs w:val="24"/>
              </w:rPr>
              <w:t>15.4.2016</w:t>
            </w:r>
            <w:proofErr w:type="gramEnd"/>
            <w:r w:rsidR="00AA0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D53" w:rsidRDefault="00197D5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5D21F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Dodržení účelu a uznatelnost výdajů</w:t>
            </w:r>
          </w:p>
          <w:p w:rsidR="005E09B2" w:rsidRPr="00AA4EA3" w:rsidRDefault="005E09B2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B4C" w:rsidRDefault="00F41B4C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F41B4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Nedostatky v účetních dokladech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6" w:rsidRDefault="002D3DC6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Ostatní</w:t>
            </w:r>
          </w:p>
          <w:p w:rsidR="002D3DC6" w:rsidRDefault="002D3DC6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19B" w:rsidTr="00A3019B">
        <w:tc>
          <w:tcPr>
            <w:tcW w:w="9212" w:type="dxa"/>
          </w:tcPr>
          <w:p w:rsidR="00A3019B" w:rsidRPr="00A3019B" w:rsidRDefault="00A3019B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9B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sectPr w:rsidR="0026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B9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80017"/>
    <w:multiLevelType w:val="hybridMultilevel"/>
    <w:tmpl w:val="E2AA2796"/>
    <w:lvl w:ilvl="0" w:tplc="4B36A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E2DD4"/>
    <w:multiLevelType w:val="hybridMultilevel"/>
    <w:tmpl w:val="C6986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05D34"/>
    <w:multiLevelType w:val="hybridMultilevel"/>
    <w:tmpl w:val="D24A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0D81"/>
    <w:multiLevelType w:val="hybridMultilevel"/>
    <w:tmpl w:val="7FB82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32858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D0A55"/>
    <w:multiLevelType w:val="hybridMultilevel"/>
    <w:tmpl w:val="DCAC695E"/>
    <w:lvl w:ilvl="0" w:tplc="1B30830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2"/>
    <w:rsid w:val="00057C7C"/>
    <w:rsid w:val="00066E99"/>
    <w:rsid w:val="000A3DD9"/>
    <w:rsid w:val="00133970"/>
    <w:rsid w:val="00166FCC"/>
    <w:rsid w:val="00183C3A"/>
    <w:rsid w:val="00197D53"/>
    <w:rsid w:val="0021734E"/>
    <w:rsid w:val="00264028"/>
    <w:rsid w:val="002C69D9"/>
    <w:rsid w:val="002D3DC6"/>
    <w:rsid w:val="002F4E93"/>
    <w:rsid w:val="002F5BF0"/>
    <w:rsid w:val="00311F2F"/>
    <w:rsid w:val="003D41C2"/>
    <w:rsid w:val="004063C8"/>
    <w:rsid w:val="00530F9A"/>
    <w:rsid w:val="00531199"/>
    <w:rsid w:val="00571F2D"/>
    <w:rsid w:val="005D21FC"/>
    <w:rsid w:val="005D29F8"/>
    <w:rsid w:val="005E09B2"/>
    <w:rsid w:val="0060157E"/>
    <w:rsid w:val="00603217"/>
    <w:rsid w:val="00622B92"/>
    <w:rsid w:val="00634AE7"/>
    <w:rsid w:val="006442BC"/>
    <w:rsid w:val="006C12B5"/>
    <w:rsid w:val="0071349B"/>
    <w:rsid w:val="00732515"/>
    <w:rsid w:val="00734FAE"/>
    <w:rsid w:val="00745F7D"/>
    <w:rsid w:val="007837CD"/>
    <w:rsid w:val="00790F5F"/>
    <w:rsid w:val="007E3302"/>
    <w:rsid w:val="008461F3"/>
    <w:rsid w:val="008A56CD"/>
    <w:rsid w:val="008B3B68"/>
    <w:rsid w:val="008E6DED"/>
    <w:rsid w:val="008F336C"/>
    <w:rsid w:val="00926D87"/>
    <w:rsid w:val="00971C2D"/>
    <w:rsid w:val="009B7ED9"/>
    <w:rsid w:val="009E0CA4"/>
    <w:rsid w:val="00A3019B"/>
    <w:rsid w:val="00AA0CB6"/>
    <w:rsid w:val="00AA4EA3"/>
    <w:rsid w:val="00AB71A1"/>
    <w:rsid w:val="00AE74DF"/>
    <w:rsid w:val="00AF6CC9"/>
    <w:rsid w:val="00B03D21"/>
    <w:rsid w:val="00B12E9E"/>
    <w:rsid w:val="00BA7C56"/>
    <w:rsid w:val="00BB4E82"/>
    <w:rsid w:val="00C23CCE"/>
    <w:rsid w:val="00C42F6E"/>
    <w:rsid w:val="00C44024"/>
    <w:rsid w:val="00CA1AEA"/>
    <w:rsid w:val="00D059FB"/>
    <w:rsid w:val="00D17D52"/>
    <w:rsid w:val="00D3382D"/>
    <w:rsid w:val="00D96B07"/>
    <w:rsid w:val="00DE31E4"/>
    <w:rsid w:val="00E124D6"/>
    <w:rsid w:val="00E1390A"/>
    <w:rsid w:val="00E21041"/>
    <w:rsid w:val="00F27168"/>
    <w:rsid w:val="00F41B4C"/>
    <w:rsid w:val="00FD49A6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Brzkovská Monika</cp:lastModifiedBy>
  <cp:revision>2</cp:revision>
  <cp:lastPrinted>2016-04-04T13:08:00Z</cp:lastPrinted>
  <dcterms:created xsi:type="dcterms:W3CDTF">2016-04-10T12:24:00Z</dcterms:created>
  <dcterms:modified xsi:type="dcterms:W3CDTF">2016-04-10T12:24:00Z</dcterms:modified>
</cp:coreProperties>
</file>