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4F3D24">
              <w:rPr>
                <w:b/>
                <w:bCs/>
                <w:color w:val="auto"/>
                <w:sz w:val="28"/>
                <w:szCs w:val="28"/>
                <w:lang w:eastAsia="en-US"/>
              </w:rPr>
              <w:t>zdravotní a sociální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4F3D24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HoPo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~ program pro dospívající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Neposeda, z.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ú.</w:t>
            </w:r>
            <w:proofErr w:type="spellEnd"/>
            <w:proofErr w:type="gramEnd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4F3D24">
              <w:rPr>
                <w:b/>
                <w:sz w:val="24"/>
                <w:szCs w:val="24"/>
                <w:lang w:eastAsia="en-US"/>
              </w:rPr>
              <w:t xml:space="preserve"> 69793298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Šimanovská 47, Praha 9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  <w:r w:rsidR="004F3D24">
              <w:rPr>
                <w:b/>
                <w:sz w:val="24"/>
                <w:szCs w:val="24"/>
                <w:lang w:eastAsia="en-US"/>
              </w:rPr>
              <w:t xml:space="preserve"> 198 00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739 491 640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hyperlink r:id="rId9" w:history="1">
              <w:r w:rsidRPr="006B01BE">
                <w:rPr>
                  <w:rStyle w:val="Hypertextovodkaz"/>
                  <w:b/>
                  <w:sz w:val="24"/>
                  <w:szCs w:val="24"/>
                  <w:lang w:eastAsia="en-US"/>
                </w:rPr>
                <w:t>office@neposeda.org</w:t>
              </w:r>
            </w:hyperlink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hyperlink r:id="rId10" w:history="1">
              <w:r w:rsidRPr="006B01BE">
                <w:rPr>
                  <w:rStyle w:val="Hypertextovodkaz"/>
                  <w:b/>
                  <w:sz w:val="24"/>
                  <w:szCs w:val="24"/>
                  <w:lang w:eastAsia="en-US"/>
                </w:rPr>
                <w:t>www.neposeda.org</w:t>
              </w:r>
            </w:hyperlink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Mgr. Ivana Štefková, ředitelka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4F3D24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739 491 640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Mgr. Ivana Štefková,</w:t>
            </w:r>
          </w:p>
          <w:p w:rsidR="004F3D24" w:rsidRPr="00877355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ředitelka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4F3D24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Statutární orgán zapsaného ústavu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4F3D24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Vklad zakladatele PhDr. Melanie Zajacové – 1000,- Kč</w:t>
            </w: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4F3D24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Zapsaný ústav</w:t>
            </w: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  <w:p w:rsidR="004F3D24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  <w:r w:rsidR="004F3D24">
              <w:rPr>
                <w:b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4F3D2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="004F3D24">
              <w:rPr>
                <w:b/>
                <w:sz w:val="28"/>
                <w:szCs w:val="28"/>
                <w:lang w:eastAsia="en-US"/>
              </w:rPr>
              <w:sym w:font="Wingdings" w:char="F0FE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80 000,-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4" w:rsidRDefault="004F3D24" w:rsidP="004F3D2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Fio</w:t>
            </w:r>
            <w:proofErr w:type="spellEnd"/>
            <w:r>
              <w:rPr>
                <w:lang w:eastAsia="en-US"/>
              </w:rPr>
              <w:t xml:space="preserve"> banka, a.s. </w:t>
            </w:r>
          </w:p>
          <w:p w:rsidR="004F3D24" w:rsidRDefault="004F3D24" w:rsidP="004F3D2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Millennium</w:t>
            </w:r>
            <w:proofErr w:type="spellEnd"/>
            <w:r>
              <w:rPr>
                <w:lang w:eastAsia="en-US"/>
              </w:rPr>
              <w:t xml:space="preserve"> Plaza, V Celnici 10</w:t>
            </w:r>
          </w:p>
          <w:p w:rsidR="00A7138D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 21 Praha 1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4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2000725748/2010</w:t>
            </w:r>
          </w:p>
          <w:p w:rsidR="00A7138D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Specifický symbol: 1520</w:t>
            </w: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4F3D24" w:rsidP="004F3D24">
            <w:pPr>
              <w:spacing w:line="276" w:lineRule="auto"/>
              <w:jc w:val="both"/>
              <w:rPr>
                <w:lang w:eastAsia="en-US"/>
              </w:rPr>
            </w:pPr>
            <w:r w:rsidRPr="004F3D24">
              <w:rPr>
                <w:lang w:eastAsia="en-US"/>
              </w:rPr>
              <w:t xml:space="preserve">Do okrajových částí Prahy se často jezdí jen bydlet. V Neposedovi usilujeme o to, aby se tu dalo také dobře žít. Nabízíme místním lidem služby, které by pro ně byly jinak těžko dostupné, a umožňujeme jim aktivně se podílet </w:t>
            </w:r>
            <w:r>
              <w:rPr>
                <w:lang w:eastAsia="en-US"/>
              </w:rPr>
              <w:br/>
            </w:r>
            <w:r w:rsidRPr="004F3D24">
              <w:rPr>
                <w:lang w:eastAsia="en-US"/>
              </w:rPr>
              <w:t xml:space="preserve">na dění v místě, kde žijí. Pracujeme se všemi cílovými skupinami - od rodičů s nejmenšími dětmi přes dospívající </w:t>
            </w:r>
            <w:r>
              <w:rPr>
                <w:lang w:eastAsia="en-US"/>
              </w:rPr>
              <w:br/>
            </w:r>
            <w:r w:rsidRPr="004F3D24">
              <w:rPr>
                <w:lang w:eastAsia="en-US"/>
              </w:rPr>
              <w:t>a dospělé po osamělé seniory. Organizace byla založena v roce 1999, je založena na činnosti profesionálů, opírá se o strategické plánování, externí konzultace a partnerství s dalšími subjekty. Rozvíjí komunitní způsob práce.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4" w:rsidRDefault="004F3D24" w:rsidP="004F3D24">
            <w:pPr>
              <w:jc w:val="both"/>
            </w:pPr>
            <w:r>
              <w:t xml:space="preserve">Dospívání je významné životní období. Přináší mnoho zátěžových situací a nových výzev. V </w:t>
            </w:r>
            <w:r>
              <w:t>n</w:t>
            </w:r>
            <w:r>
              <w:t xml:space="preserve">ízkoprahovém klubu a </w:t>
            </w:r>
            <w:r>
              <w:t>t</w:t>
            </w:r>
            <w:r>
              <w:t xml:space="preserve">erénním programu </w:t>
            </w:r>
            <w:proofErr w:type="spellStart"/>
            <w:r>
              <w:t>HoPo</w:t>
            </w:r>
            <w:proofErr w:type="spellEnd"/>
            <w:r>
              <w:t xml:space="preserve"> se </w:t>
            </w:r>
            <w:r>
              <w:t xml:space="preserve">pomáháme dospívajícím </w:t>
            </w:r>
            <w:r>
              <w:t>úspěšně zvlád</w:t>
            </w:r>
            <w:r>
              <w:t>at</w:t>
            </w:r>
            <w:r>
              <w:t xml:space="preserve"> cestu z dětství do dospělosti. Usilujeme o to, aby se dospívající rizikovým způsobem nechovali, případně se tak chovali méně, aby vnímali pozitivní i negativní důsledky svého chování pro sebe a pro společnost, aby svým chováním aktivně ovlivňovali svůj život, uměli požádat o pomoc, když ji potřebují, a byli spokojeni se svým životem. Pracujeme s mladými lidmi od 11 do 18 let, kteří žijí nebo tráví volný čas v lokalitě Prahy </w:t>
            </w:r>
            <w:proofErr w:type="gramStart"/>
            <w:r>
              <w:t>20 a kteří</w:t>
            </w:r>
            <w:proofErr w:type="gramEnd"/>
            <w:r>
              <w:t xml:space="preserve"> jsou zasaženi či ohroženi nepříznivou sociální situací. Rozšiřujeme jejich životní příležitosti, zprostředkováváme jim účinné řešení problémů a zmírňujeme nebezpečí, která jim hrozí.</w:t>
            </w:r>
          </w:p>
          <w:p w:rsidR="004F3D24" w:rsidRPr="00872EF6" w:rsidRDefault="004F3D24" w:rsidP="004F3D24">
            <w:pPr>
              <w:rPr>
                <w:b/>
              </w:rPr>
            </w:pPr>
            <w:r w:rsidRPr="00872EF6">
              <w:rPr>
                <w:b/>
              </w:rPr>
              <w:t>Cíle</w:t>
            </w:r>
          </w:p>
          <w:p w:rsidR="004F3D24" w:rsidRPr="00872EF6" w:rsidRDefault="004F3D24" w:rsidP="004F3D24">
            <w:pPr>
              <w:pStyle w:val="Odstavecseseznamem"/>
              <w:numPr>
                <w:ilvl w:val="0"/>
                <w:numId w:val="3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72EF6">
              <w:rPr>
                <w:sz w:val="20"/>
                <w:szCs w:val="20"/>
              </w:rPr>
              <w:t xml:space="preserve">Dospívající, se kterými pracujeme, vědí, jaké důsledky může mít rizikové chování, usilují </w:t>
            </w:r>
            <w:r>
              <w:rPr>
                <w:sz w:val="20"/>
                <w:szCs w:val="20"/>
              </w:rPr>
              <w:t xml:space="preserve">o </w:t>
            </w:r>
            <w:r w:rsidRPr="00872EF6">
              <w:rPr>
                <w:sz w:val="20"/>
                <w:szCs w:val="20"/>
              </w:rPr>
              <w:t>to, aby se chovali nerizikovým způsobem v běžném životě i v náročných životních situacích.</w:t>
            </w:r>
          </w:p>
          <w:p w:rsidR="004F3D24" w:rsidRPr="00872EF6" w:rsidRDefault="004F3D24" w:rsidP="004F3D24">
            <w:pPr>
              <w:pStyle w:val="Odstavecseseznamem"/>
              <w:numPr>
                <w:ilvl w:val="0"/>
                <w:numId w:val="3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72EF6">
              <w:rPr>
                <w:sz w:val="20"/>
                <w:szCs w:val="20"/>
              </w:rPr>
              <w:t xml:space="preserve">Dospívající, se kterými pracujeme, jsou přesvědčeni o tom, že dokáží ovlivnit svůj život vlastními silami. </w:t>
            </w:r>
          </w:p>
          <w:p w:rsidR="004F3D24" w:rsidRDefault="004F3D24" w:rsidP="004F3D24">
            <w:pPr>
              <w:pStyle w:val="Odstavecseseznamem"/>
              <w:numPr>
                <w:ilvl w:val="0"/>
                <w:numId w:val="3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72EF6">
              <w:rPr>
                <w:sz w:val="20"/>
                <w:szCs w:val="20"/>
              </w:rPr>
              <w:t>Dospívající, se kterými pracujeme, umí požádat o podporu v situacích, ve kterých si nejsou jisti a které jsou pro ně náročné.</w:t>
            </w:r>
          </w:p>
          <w:p w:rsidR="004F3D24" w:rsidRPr="004F3D24" w:rsidRDefault="004F3D24" w:rsidP="004F3D24">
            <w:pPr>
              <w:pStyle w:val="Odstavecseseznamem"/>
              <w:numPr>
                <w:ilvl w:val="0"/>
                <w:numId w:val="3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4F3D24">
              <w:rPr>
                <w:sz w:val="20"/>
                <w:szCs w:val="20"/>
              </w:rPr>
              <w:t>Dospívající, se kterými pracujeme, jsou se svým životem spokojení. Pokud vnímají, že s některými oblastmi života spokojeni nejsou, usilují o jejich zlepšení společensky přijatelným způsobem.</w:t>
            </w:r>
          </w:p>
          <w:p w:rsidR="004F3D24" w:rsidRPr="00872EF6" w:rsidRDefault="004F3D24" w:rsidP="004F3D24">
            <w:pPr>
              <w:rPr>
                <w:b/>
              </w:rPr>
            </w:pPr>
            <w:r w:rsidRPr="00872EF6">
              <w:rPr>
                <w:b/>
              </w:rPr>
              <w:t>Cílová skupina</w:t>
            </w:r>
          </w:p>
          <w:p w:rsidR="004F3D24" w:rsidRDefault="004F3D24" w:rsidP="004F3D24">
            <w:proofErr w:type="gramStart"/>
            <w:r>
              <w:t>Pracujeme</w:t>
            </w:r>
            <w:proofErr w:type="gramEnd"/>
            <w:r>
              <w:t xml:space="preserve"> s dospívajícími, </w:t>
            </w:r>
            <w:proofErr w:type="gramStart"/>
            <w:r>
              <w:t>kteří</w:t>
            </w:r>
            <w:proofErr w:type="gramEnd"/>
          </w:p>
          <w:p w:rsidR="004F3D24" w:rsidRDefault="004F3D24" w:rsidP="004F3D24">
            <w:r>
              <w:t xml:space="preserve">1. jsou ve věku od 11 do 18 let a čelí mnoha vývojovým úkolům; </w:t>
            </w:r>
          </w:p>
          <w:p w:rsidR="004F3D24" w:rsidRDefault="004F3D24" w:rsidP="004F3D24">
            <w:r>
              <w:t xml:space="preserve">2. žijí neb tráví volný čas v lokalitě Prahy 20; </w:t>
            </w:r>
          </w:p>
          <w:p w:rsidR="004F3D24" w:rsidRDefault="004F3D24" w:rsidP="004F3D24">
            <w:r>
              <w:t>3. jsou zasaženi nebo ohroženi nepříznivou sociální situací</w:t>
            </w:r>
          </w:p>
          <w:p w:rsidR="004F3D24" w:rsidRPr="00872EF6" w:rsidRDefault="004F3D24" w:rsidP="004F3D24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sz w:val="20"/>
              </w:rPr>
            </w:pPr>
            <w:r w:rsidRPr="00872EF6">
              <w:rPr>
                <w:sz w:val="20"/>
              </w:rPr>
              <w:t>chovají se rizikovým způsobem (např. šikana, záškoláctví, užívání návykových látek aj.),</w:t>
            </w:r>
          </w:p>
          <w:p w:rsidR="004F3D24" w:rsidRPr="00872EF6" w:rsidRDefault="004F3D24" w:rsidP="004F3D24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sz w:val="20"/>
              </w:rPr>
            </w:pPr>
            <w:r w:rsidRPr="00872EF6">
              <w:rPr>
                <w:sz w:val="20"/>
              </w:rPr>
              <w:t>nejsou spokojeni se svým životem,</w:t>
            </w:r>
          </w:p>
          <w:p w:rsidR="004F3D24" w:rsidRPr="00872EF6" w:rsidRDefault="004F3D24" w:rsidP="004F3D24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sz w:val="20"/>
              </w:rPr>
            </w:pPr>
            <w:r w:rsidRPr="00872EF6">
              <w:rPr>
                <w:sz w:val="20"/>
              </w:rPr>
              <w:t>myslí si, že svůj život nemohou sami svým chováním ovlivnit,</w:t>
            </w:r>
          </w:p>
          <w:p w:rsidR="004F3D24" w:rsidRPr="00872EF6" w:rsidRDefault="004F3D24" w:rsidP="004F3D24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sz w:val="20"/>
              </w:rPr>
            </w:pPr>
            <w:r w:rsidRPr="00872EF6">
              <w:rPr>
                <w:sz w:val="20"/>
              </w:rPr>
              <w:t>nemluví o tom, co prožívají a co je trápí,</w:t>
            </w:r>
          </w:p>
          <w:p w:rsidR="004F3D24" w:rsidRPr="00872EF6" w:rsidRDefault="004F3D24" w:rsidP="004F3D24">
            <w:pPr>
              <w:pStyle w:val="Odstavecseseznamem"/>
              <w:numPr>
                <w:ilvl w:val="0"/>
                <w:numId w:val="4"/>
              </w:numPr>
              <w:ind w:left="567" w:hanging="283"/>
              <w:rPr>
                <w:sz w:val="16"/>
              </w:rPr>
            </w:pPr>
            <w:r w:rsidRPr="00872EF6">
              <w:rPr>
                <w:sz w:val="20"/>
              </w:rPr>
              <w:t>znají jen několik možností zvládání zátěžových situací, které jsou většinou rizikové (např. agrese, užívání návykových látek).</w:t>
            </w:r>
          </w:p>
          <w:p w:rsidR="004F3D24" w:rsidRDefault="004F3D24" w:rsidP="004F3D24">
            <w:pPr>
              <w:tabs>
                <w:tab w:val="left" w:pos="284"/>
              </w:tabs>
              <w:jc w:val="both"/>
            </w:pPr>
            <w:r w:rsidRPr="00697183">
              <w:rPr>
                <w:u w:val="single"/>
              </w:rPr>
              <w:t>Základní metodou práce s uživateli služby</w:t>
            </w:r>
            <w:r w:rsidRPr="00697183">
              <w:t xml:space="preserve"> je kontaktní práce. Jejím prostřednictvím vytváříme prostor a situaci pro individuální plánování – realizaci cílených intervencí. Jedná se o specifický druh kontaktu s uživatelem, který má za cíl vytvořit dostatečnou vzájemnou důvěru a podmínky potřebné pro rozvíjení kontaktu </w:t>
            </w:r>
            <w:r>
              <w:br/>
            </w:r>
            <w:r w:rsidRPr="00697183">
              <w:t>a poskytování dalších služeb. Součástí kontaktní práce je hledání a upevňování hranic komunikace s uživatelem a kultivování jeho schopnosti vyjádřit své potřeby a naučit se využívat existující nabídky služeb.</w:t>
            </w:r>
          </w:p>
          <w:p w:rsidR="004F3D24" w:rsidRDefault="004F3D24" w:rsidP="004F3D24">
            <w:pPr>
              <w:tabs>
                <w:tab w:val="left" w:pos="284"/>
              </w:tabs>
              <w:jc w:val="both"/>
            </w:pPr>
          </w:p>
          <w:p w:rsidR="004F3D24" w:rsidRPr="00073D50" w:rsidRDefault="004F3D24" w:rsidP="004F3D24">
            <w:pPr>
              <w:tabs>
                <w:tab w:val="left" w:pos="3402"/>
              </w:tabs>
              <w:jc w:val="both"/>
            </w:pPr>
            <w:r w:rsidRPr="00073D50">
              <w:rPr>
                <w:u w:val="single"/>
              </w:rPr>
              <w:t>Základní činnosti</w:t>
            </w:r>
            <w:r w:rsidRPr="00073D50">
              <w:t xml:space="preserve"> při poskytování sociálních služeb v nízkoprahových zařízeních pro děti a mládež obsahují tyto úkony:</w:t>
            </w:r>
          </w:p>
          <w:p w:rsidR="004F3D24" w:rsidRPr="00073D50" w:rsidRDefault="004F3D24" w:rsidP="004F3D24">
            <w:pPr>
              <w:tabs>
                <w:tab w:val="left" w:pos="3402"/>
              </w:tabs>
            </w:pPr>
            <w:r w:rsidRPr="00073D50">
              <w:t>A) výchovné, vzdělávací a aktivizační činnosti</w:t>
            </w:r>
          </w:p>
          <w:p w:rsidR="004F3D24" w:rsidRPr="00073D50" w:rsidRDefault="004F3D24" w:rsidP="004F3D24">
            <w:pPr>
              <w:tabs>
                <w:tab w:val="left" w:pos="3402"/>
              </w:tabs>
              <w:ind w:left="284" w:hanging="284"/>
              <w:jc w:val="both"/>
            </w:pPr>
            <w:r w:rsidRPr="00073D50">
              <w:t>B) zprostředkování kontaktu se společenským prostředím</w:t>
            </w:r>
          </w:p>
          <w:p w:rsidR="004F3D24" w:rsidRPr="00073D50" w:rsidRDefault="004F3D24" w:rsidP="004F3D24">
            <w:pPr>
              <w:tabs>
                <w:tab w:val="left" w:pos="3402"/>
              </w:tabs>
              <w:ind w:left="284" w:hanging="284"/>
              <w:jc w:val="both"/>
            </w:pPr>
            <w:r w:rsidRPr="00073D50">
              <w:t>C) sociálně terapeutické činnosti</w:t>
            </w:r>
          </w:p>
          <w:p w:rsidR="004F3D24" w:rsidRPr="00073D50" w:rsidRDefault="004F3D24" w:rsidP="004F3D24">
            <w:pPr>
              <w:tabs>
                <w:tab w:val="left" w:pos="3402"/>
              </w:tabs>
              <w:jc w:val="both"/>
            </w:pPr>
            <w:r w:rsidRPr="00073D50">
              <w:t>D) pomoc při uplatňování práv, oprávněných zájmů a při obstarávání osobních záležitostí</w:t>
            </w:r>
          </w:p>
          <w:p w:rsidR="004F3D24" w:rsidRPr="00073D50" w:rsidRDefault="004F3D24" w:rsidP="004F3D24">
            <w:pPr>
              <w:pStyle w:val="Odstavecseseznamem"/>
              <w:tabs>
                <w:tab w:val="left" w:pos="3402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73D50">
              <w:rPr>
                <w:sz w:val="20"/>
                <w:szCs w:val="20"/>
              </w:rPr>
              <w:t xml:space="preserve">lužby lze čerpat v ambulantní i terénní formě. V omezené míře i prostřednictvím zprostředkované komunikace (telefon, email, internetová komunikace) – zde je cílem domluvit si osobní setkání. Dle potřeb klienta a závažnosti řešeného problému poskytujeme činnosti služby v souladu s platnou legislativou </w:t>
            </w:r>
            <w:r>
              <w:rPr>
                <w:sz w:val="20"/>
                <w:szCs w:val="20"/>
              </w:rPr>
              <w:br/>
            </w:r>
            <w:r w:rsidRPr="00073D50">
              <w:rPr>
                <w:sz w:val="20"/>
                <w:szCs w:val="20"/>
              </w:rPr>
              <w:t>a aktuálními vývojovými trendy v oboru. Rozsah poskytovaných služeb a činností se určuje</w:t>
            </w:r>
            <w:r>
              <w:rPr>
                <w:sz w:val="20"/>
                <w:szCs w:val="20"/>
              </w:rPr>
              <w:t xml:space="preserve"> na základě individuální dohody </w:t>
            </w:r>
            <w:r w:rsidRPr="00073D50">
              <w:rPr>
                <w:sz w:val="20"/>
                <w:szCs w:val="20"/>
              </w:rPr>
              <w:t>s klientem.</w:t>
            </w:r>
          </w:p>
          <w:p w:rsidR="004F3D24" w:rsidRPr="002F5DD0" w:rsidRDefault="004F3D24" w:rsidP="004F3D24">
            <w:pPr>
              <w:tabs>
                <w:tab w:val="left" w:pos="3402"/>
              </w:tabs>
              <w:rPr>
                <w:u w:val="single"/>
              </w:rPr>
            </w:pPr>
            <w:r w:rsidRPr="002F5DD0">
              <w:rPr>
                <w:u w:val="single"/>
              </w:rPr>
              <w:lastRenderedPageBreak/>
              <w:t>Místo realizace:</w:t>
            </w:r>
          </w:p>
          <w:p w:rsidR="004F3D24" w:rsidRDefault="004F3D24" w:rsidP="004F3D24">
            <w:pPr>
              <w:tabs>
                <w:tab w:val="left" w:pos="3402"/>
              </w:tabs>
              <w:jc w:val="both"/>
            </w:pPr>
            <w:r>
              <w:t xml:space="preserve">Služba je poskytována v lokalitě Prahy 20. Ambulantní forma má své zázemí na adrese Božanovská 2098. Jedná se o nebytový prostor (sedačka, počítač, hry, stůl a židle), který je v pronájmu městské části a zařízení je jeho skutečným uživatelem (dle smlouvy). </w:t>
            </w:r>
          </w:p>
          <w:p w:rsidR="004F3D24" w:rsidRDefault="004F3D24" w:rsidP="004F3D24">
            <w:pPr>
              <w:tabs>
                <w:tab w:val="left" w:pos="3402"/>
              </w:tabs>
              <w:rPr>
                <w:u w:val="single"/>
              </w:rPr>
            </w:pPr>
          </w:p>
          <w:p w:rsidR="004F3D24" w:rsidRDefault="004F3D24" w:rsidP="004F3D24">
            <w:pPr>
              <w:tabs>
                <w:tab w:val="left" w:pos="3402"/>
              </w:tabs>
            </w:pPr>
            <w:r w:rsidRPr="00481B68">
              <w:rPr>
                <w:u w:val="single"/>
              </w:rPr>
              <w:t xml:space="preserve">Doba realizace </w:t>
            </w:r>
            <w:proofErr w:type="gramStart"/>
            <w:r w:rsidRPr="00481B68">
              <w:rPr>
                <w:u w:val="single"/>
              </w:rPr>
              <w:t>projektu:</w:t>
            </w:r>
            <w:r>
              <w:t xml:space="preserve">  od</w:t>
            </w:r>
            <w:proofErr w:type="gramEnd"/>
            <w:r>
              <w:t xml:space="preserve"> 1. 1. 201</w:t>
            </w:r>
            <w:r w:rsidR="00DB1DB9">
              <w:t>6</w:t>
            </w:r>
            <w:r>
              <w:t xml:space="preserve"> do 31. 12.201</w:t>
            </w:r>
            <w:r w:rsidR="00DB1DB9">
              <w:t>6</w:t>
            </w:r>
          </w:p>
          <w:p w:rsidR="004F3D24" w:rsidRDefault="004F3D24" w:rsidP="004F3D24">
            <w:pPr>
              <w:tabs>
                <w:tab w:val="left" w:pos="3402"/>
              </w:tabs>
            </w:pPr>
          </w:p>
          <w:p w:rsidR="004F3D24" w:rsidRPr="00841771" w:rsidRDefault="004F3D24" w:rsidP="004F3D24">
            <w:pPr>
              <w:tabs>
                <w:tab w:val="left" w:pos="3402"/>
              </w:tabs>
            </w:pPr>
            <w:r>
              <w:rPr>
                <w:u w:val="single"/>
              </w:rPr>
              <w:t>Předpokládaný počet klientů</w:t>
            </w:r>
            <w:r>
              <w:t xml:space="preserve">: </w:t>
            </w:r>
            <w:r w:rsidR="00DB1DB9">
              <w:t>20</w:t>
            </w:r>
            <w:r>
              <w:t xml:space="preserve">0, z toho 100% </w:t>
            </w:r>
            <w:r w:rsidR="00DB1DB9">
              <w:t>žijících a trávících volný čas na ú</w:t>
            </w:r>
            <w:r>
              <w:t>z</w:t>
            </w:r>
            <w:r w:rsidR="00DB1DB9">
              <w:t>emí</w:t>
            </w:r>
            <w:r>
              <w:t> Prahy 20</w:t>
            </w:r>
          </w:p>
          <w:p w:rsidR="004F3D24" w:rsidRDefault="004F3D24" w:rsidP="004F3D24">
            <w:pPr>
              <w:tabs>
                <w:tab w:val="left" w:pos="3402"/>
              </w:tabs>
              <w:rPr>
                <w:u w:val="single"/>
              </w:rPr>
            </w:pPr>
          </w:p>
          <w:p w:rsidR="004F3D24" w:rsidRPr="00481B68" w:rsidRDefault="004F3D24" w:rsidP="004F3D24">
            <w:pPr>
              <w:tabs>
                <w:tab w:val="left" w:pos="3402"/>
              </w:tabs>
              <w:rPr>
                <w:u w:val="single"/>
              </w:rPr>
            </w:pPr>
            <w:r w:rsidRPr="00481B68">
              <w:rPr>
                <w:u w:val="single"/>
              </w:rPr>
              <w:t>Rámcový časový harmonogram realizace projektu:</w:t>
            </w:r>
          </w:p>
          <w:p w:rsidR="00A7138D" w:rsidRDefault="004F3D24" w:rsidP="004F3D24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Za optimální formu poskytování považujeme kombinaci ambulantní a terénní formy. Obě formy považujeme </w:t>
            </w:r>
            <w:r>
              <w:br/>
              <w:t>za stejně potřebné a hodnotné.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B1DB9" w:rsidTr="00D6700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B9" w:rsidRPr="007B084F" w:rsidRDefault="00DB1DB9" w:rsidP="00DB1DB9">
            <w:pPr>
              <w:jc w:val="both"/>
            </w:pPr>
            <w:r w:rsidRPr="007B084F">
              <w:t xml:space="preserve">Nízkoprahové zařízení pro děti a mládež </w:t>
            </w:r>
            <w:proofErr w:type="spellStart"/>
            <w:r w:rsidRPr="007B084F">
              <w:t>HoPo</w:t>
            </w:r>
            <w:proofErr w:type="spellEnd"/>
            <w:r w:rsidRPr="007B084F">
              <w:t xml:space="preserve"> vzniklo na Praze 20 v říjnu 2012 na základě dlouhodobého záměru městské části, pro který však do této doby scházel vhodný prostor.  </w:t>
            </w:r>
            <w:r w:rsidRPr="007B084F">
              <w:rPr>
                <w:b/>
              </w:rPr>
              <w:t>Potřebnost služby byla v lokalitě pojmenována v rámci procesu komunitního plánování a byla vysledována rovněž v rámci rozsáhlého monitoringu lokality</w:t>
            </w:r>
            <w:r w:rsidRPr="007B084F">
              <w:t>, který proběhl v roce 2011.</w:t>
            </w:r>
          </w:p>
          <w:p w:rsidR="00DB1DB9" w:rsidRPr="007B084F" w:rsidRDefault="00DB1DB9" w:rsidP="00DB1DB9">
            <w:pPr>
              <w:jc w:val="both"/>
              <w:rPr>
                <w:rFonts w:eastAsia="Arial"/>
              </w:rPr>
            </w:pPr>
            <w:r w:rsidRPr="007B084F">
              <w:t>V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průběhu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realizace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projektu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se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potvrdil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značný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výskyt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neorganizované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mládeže na území Prahy 20</w:t>
            </w:r>
            <w:r w:rsidRPr="007B084F">
              <w:rPr>
                <w:rFonts w:eastAsia="Arial"/>
              </w:rPr>
              <w:t xml:space="preserve"> a </w:t>
            </w:r>
            <w:r w:rsidRPr="007B084F">
              <w:t>zároveň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byla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prokázána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potřeba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zabezpečit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nabídku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služeb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této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cílové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skupině</w:t>
            </w:r>
            <w:r w:rsidRPr="007B084F">
              <w:rPr>
                <w:rFonts w:eastAsia="Arial"/>
              </w:rPr>
              <w:t xml:space="preserve">. </w:t>
            </w:r>
            <w:r w:rsidRPr="007B084F">
              <w:t>Mapování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sítě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služeb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terénní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práce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ukazuje</w:t>
            </w:r>
            <w:r w:rsidRPr="007B084F">
              <w:rPr>
                <w:rFonts w:eastAsia="Arial"/>
              </w:rPr>
              <w:t xml:space="preserve">, </w:t>
            </w:r>
            <w:r w:rsidRPr="007B084F">
              <w:t>že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rPr>
                <w:b/>
              </w:rPr>
              <w:t>neorganizovaná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mládež</w:t>
            </w:r>
            <w:r w:rsidRPr="007B084F">
              <w:rPr>
                <w:rFonts w:eastAsia="Arial"/>
                <w:b/>
              </w:rPr>
              <w:t xml:space="preserve"> má jen malé příležitosti k aktivnímu trávení volného času</w:t>
            </w:r>
            <w:r w:rsidRPr="007B084F">
              <w:rPr>
                <w:rFonts w:eastAsia="Arial"/>
              </w:rPr>
              <w:t>, nebo je neumí využívat.</w:t>
            </w:r>
          </w:p>
          <w:p w:rsidR="00DB1DB9" w:rsidRPr="007B084F" w:rsidRDefault="00DB1DB9" w:rsidP="00DB1DB9">
            <w:pPr>
              <w:jc w:val="both"/>
              <w:rPr>
                <w:rFonts w:eastAsia="Arial"/>
              </w:rPr>
            </w:pPr>
            <w:proofErr w:type="spellStart"/>
            <w:r w:rsidRPr="007B084F">
              <w:rPr>
                <w:rFonts w:eastAsia="Arial"/>
                <w:b/>
              </w:rPr>
              <w:t>HoPo</w:t>
            </w:r>
            <w:proofErr w:type="spellEnd"/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představuje</w:t>
            </w:r>
            <w:r w:rsidRPr="007B084F">
              <w:rPr>
                <w:rFonts w:eastAsia="Arial"/>
                <w:b/>
              </w:rPr>
              <w:t xml:space="preserve"> volnočasové a sociální </w:t>
            </w:r>
            <w:r w:rsidRPr="007B084F">
              <w:rPr>
                <w:b/>
              </w:rPr>
              <w:t>zařízení</w:t>
            </w:r>
            <w:r w:rsidRPr="007B084F">
              <w:rPr>
                <w:rFonts w:eastAsia="Arial"/>
                <w:b/>
              </w:rPr>
              <w:t xml:space="preserve">, </w:t>
            </w:r>
            <w:r w:rsidRPr="007B084F">
              <w:rPr>
                <w:b/>
              </w:rPr>
              <w:t>které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je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pro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cílovou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skupinu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maximálně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dostupné</w:t>
            </w:r>
            <w:r w:rsidRPr="007B084F">
              <w:rPr>
                <w:rFonts w:eastAsia="Arial"/>
              </w:rPr>
              <w:t xml:space="preserve"> (místně, časově, </w:t>
            </w:r>
            <w:r w:rsidRPr="007B084F">
              <w:t>zcela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bezplatné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služby</w:t>
            </w:r>
            <w:r w:rsidRPr="007B084F">
              <w:rPr>
                <w:rFonts w:eastAsia="Arial"/>
              </w:rPr>
              <w:t xml:space="preserve">) </w:t>
            </w:r>
            <w:r w:rsidRPr="007B084F">
              <w:t>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rPr>
                <w:b/>
              </w:rPr>
              <w:t>účinně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spojuje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volný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čas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s prevencí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a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sociálními službami</w:t>
            </w:r>
            <w:r w:rsidRPr="007B084F">
              <w:rPr>
                <w:rFonts w:eastAsia="Arial"/>
              </w:rPr>
              <w:t xml:space="preserve">. </w:t>
            </w:r>
            <w:r w:rsidRPr="007B084F">
              <w:rPr>
                <w:rFonts w:eastAsia="Arial"/>
                <w:b/>
              </w:rPr>
              <w:t>Nabízí</w:t>
            </w:r>
            <w:r w:rsidRPr="007B084F">
              <w:rPr>
                <w:rFonts w:eastAsia="Arial"/>
              </w:rPr>
              <w:t xml:space="preserve"> tak </w:t>
            </w:r>
            <w:r w:rsidRPr="007B084F">
              <w:rPr>
                <w:rFonts w:eastAsia="Arial"/>
                <w:b/>
              </w:rPr>
              <w:t>dospívajícím</w:t>
            </w:r>
            <w:r>
              <w:rPr>
                <w:rFonts w:eastAsia="Arial"/>
                <w:b/>
              </w:rPr>
              <w:t>, které žijí nebo tráví volný čas na území</w:t>
            </w:r>
            <w:r w:rsidRPr="007B084F">
              <w:rPr>
                <w:rFonts w:eastAsia="Arial"/>
                <w:b/>
              </w:rPr>
              <w:t> Prahy 20</w:t>
            </w:r>
            <w:r>
              <w:rPr>
                <w:rFonts w:eastAsia="Arial"/>
              </w:rPr>
              <w:t>,</w:t>
            </w:r>
            <w:r w:rsidRPr="007B084F">
              <w:rPr>
                <w:rFonts w:eastAsia="Arial"/>
              </w:rPr>
              <w:t xml:space="preserve"> jedinečnou možnost </w:t>
            </w:r>
            <w:r>
              <w:rPr>
                <w:rFonts w:eastAsia="Arial"/>
              </w:rPr>
              <w:t>bezpečného trávení volného času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a</w:t>
            </w:r>
            <w:r w:rsidRPr="007B084F">
              <w:rPr>
                <w:rFonts w:eastAsia="Arial"/>
              </w:rPr>
              <w:t xml:space="preserve"> pomoc a </w:t>
            </w:r>
            <w:r w:rsidRPr="007B084F">
              <w:rPr>
                <w:b/>
              </w:rPr>
              <w:t>podporu</w:t>
            </w:r>
            <w:r w:rsidRPr="007B084F">
              <w:rPr>
                <w:rFonts w:eastAsia="Arial"/>
                <w:b/>
              </w:rPr>
              <w:t xml:space="preserve"> kvalifikovaných sociálních pracovníků </w:t>
            </w:r>
            <w:r w:rsidRPr="007B084F">
              <w:rPr>
                <w:b/>
              </w:rPr>
              <w:t>při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řešení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obtížných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životních</w:t>
            </w:r>
            <w:r w:rsidRPr="007B084F">
              <w:rPr>
                <w:rFonts w:eastAsia="Arial"/>
                <w:b/>
              </w:rPr>
              <w:t xml:space="preserve"> </w:t>
            </w:r>
            <w:r w:rsidRPr="007B084F">
              <w:rPr>
                <w:b/>
              </w:rPr>
              <w:t>situací</w:t>
            </w:r>
            <w:r w:rsidRPr="007B084F">
              <w:t>. Zařízení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je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schopno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flexibilně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reagovat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na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měnící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se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potřeby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klientů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přizpůsobovat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podle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nich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náplň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volnočasových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aktivit</w:t>
            </w:r>
            <w:r w:rsidRPr="007B084F">
              <w:rPr>
                <w:rFonts w:eastAsia="Arial"/>
              </w:rPr>
              <w:t xml:space="preserve">, </w:t>
            </w:r>
            <w:r w:rsidRPr="007B084F">
              <w:t>průběh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služby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či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program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zařízení</w:t>
            </w:r>
            <w:r w:rsidRPr="007B084F">
              <w:rPr>
                <w:rFonts w:eastAsia="Arial"/>
              </w:rPr>
              <w:t>.</w:t>
            </w:r>
          </w:p>
          <w:p w:rsidR="00DB1DB9" w:rsidRDefault="00DB1DB9" w:rsidP="00DB1DB9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7B084F">
              <w:t>Kvalitativní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>data</w:t>
            </w:r>
            <w:r w:rsidRPr="007B084F">
              <w:rPr>
                <w:rFonts w:eastAsia="Arial"/>
              </w:rPr>
              <w:t xml:space="preserve"> </w:t>
            </w:r>
            <w:r w:rsidRPr="007B084F">
              <w:t xml:space="preserve">z evidence služby prokazují to, že se daří docházející děti a </w:t>
            </w:r>
            <w:r>
              <w:t xml:space="preserve">mládež vést k aktivnímu způsobu </w:t>
            </w:r>
            <w:r w:rsidRPr="007B084F">
              <w:t>trávení volného času a upevňovat a rozvíjet jejich schopnosti a dovednosti řešit nepříznivé sociální situace.</w:t>
            </w:r>
          </w:p>
          <w:p w:rsidR="00DB1DB9" w:rsidRDefault="00DB1DB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DB1DB9" w:rsidRDefault="00DB1DB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DB1DB9" w:rsidRDefault="00DB1DB9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Default="00DB1DB9" w:rsidP="00DB1DB9"/>
    <w:p w:rsidR="00DB1DB9" w:rsidRPr="00DB1DB9" w:rsidRDefault="00DB1DB9" w:rsidP="00DB1DB9"/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lastRenderedPageBreak/>
        <w:t xml:space="preserve">V. Rozpočet na období od </w:t>
      </w:r>
      <w:r w:rsidR="00DB1DB9">
        <w:rPr>
          <w:sz w:val="24"/>
          <w:szCs w:val="24"/>
        </w:rPr>
        <w:t>1. 1. 2016</w:t>
      </w:r>
      <w:r w:rsidRPr="00185EF1">
        <w:rPr>
          <w:sz w:val="24"/>
          <w:szCs w:val="24"/>
        </w:rPr>
        <w:t xml:space="preserve"> do</w:t>
      </w:r>
      <w:r w:rsidR="00DB1DB9">
        <w:rPr>
          <w:sz w:val="24"/>
          <w:szCs w:val="24"/>
        </w:rPr>
        <w:t xml:space="preserve"> 31. 12. 2016</w:t>
      </w:r>
    </w:p>
    <w:p w:rsidR="00A7138D" w:rsidRDefault="00A7138D" w:rsidP="00A7138D"/>
    <w:p w:rsidR="00DB1DB9" w:rsidRDefault="00DB1DB9" w:rsidP="00DB1DB9">
      <w:pPr>
        <w:rPr>
          <w:color w:val="00000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0"/>
        <w:gridCol w:w="1779"/>
        <w:gridCol w:w="2190"/>
      </w:tblGrid>
      <w:tr w:rsidR="00DB1DB9" w:rsidTr="00947593">
        <w:trPr>
          <w:cantSplit/>
          <w:trHeight w:val="419"/>
        </w:trPr>
        <w:tc>
          <w:tcPr>
            <w:tcW w:w="779" w:type="dxa"/>
            <w:vMerge w:val="restart"/>
            <w:textDirection w:val="btLr"/>
            <w:vAlign w:val="center"/>
          </w:tcPr>
          <w:p w:rsidR="00DB1DB9" w:rsidRPr="002650D2" w:rsidRDefault="00DB1DB9" w:rsidP="009475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2650D2">
              <w:rPr>
                <w:b/>
                <w:color w:val="000000"/>
                <w:sz w:val="28"/>
                <w:szCs w:val="28"/>
              </w:rPr>
              <w:t>Rozpočet projektu – ekonomická rozvaha</w:t>
            </w:r>
          </w:p>
        </w:tc>
        <w:tc>
          <w:tcPr>
            <w:tcW w:w="5450" w:type="dxa"/>
          </w:tcPr>
          <w:p w:rsidR="00DB1DB9" w:rsidRPr="00CC6E4E" w:rsidRDefault="00DB1DB9" w:rsidP="00947593">
            <w:pPr>
              <w:rPr>
                <w:b/>
                <w:color w:val="000000"/>
                <w:sz w:val="24"/>
                <w:szCs w:val="24"/>
              </w:rPr>
            </w:pPr>
            <w:r w:rsidRPr="00CC6E4E">
              <w:rPr>
                <w:b/>
                <w:color w:val="000000"/>
                <w:sz w:val="24"/>
                <w:szCs w:val="24"/>
              </w:rPr>
              <w:t>Typy nákladů/ specifikace položek</w:t>
            </w:r>
          </w:p>
        </w:tc>
        <w:tc>
          <w:tcPr>
            <w:tcW w:w="1779" w:type="dxa"/>
          </w:tcPr>
          <w:p w:rsidR="00DB1DB9" w:rsidRPr="00CC6E4E" w:rsidRDefault="00DB1DB9" w:rsidP="00947593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Celkový rozpočet projektu</w:t>
            </w:r>
          </w:p>
          <w:p w:rsidR="00DB1DB9" w:rsidRPr="00CC6E4E" w:rsidRDefault="00DB1DB9" w:rsidP="00947593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(Plánované výdaje)</w:t>
            </w:r>
          </w:p>
          <w:p w:rsidR="00DB1DB9" w:rsidRPr="00CC6E4E" w:rsidRDefault="00DB1DB9" w:rsidP="00947593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Kč</w:t>
            </w:r>
          </w:p>
        </w:tc>
        <w:tc>
          <w:tcPr>
            <w:tcW w:w="2190" w:type="dxa"/>
          </w:tcPr>
          <w:p w:rsidR="00DB1DB9" w:rsidRPr="00CC6E4E" w:rsidRDefault="00DB1DB9" w:rsidP="00947593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Celková výše</w:t>
            </w:r>
            <w:r>
              <w:rPr>
                <w:b/>
                <w:sz w:val="24"/>
                <w:szCs w:val="24"/>
              </w:rPr>
              <w:t xml:space="preserve"> požadované dotace od MČ Praha 20</w:t>
            </w:r>
            <w:r w:rsidRPr="00CC6E4E">
              <w:rPr>
                <w:b/>
                <w:sz w:val="24"/>
                <w:szCs w:val="24"/>
              </w:rPr>
              <w:t xml:space="preserve"> v rámci vyhlášeného grantu</w:t>
            </w:r>
          </w:p>
          <w:p w:rsidR="00DB1DB9" w:rsidRPr="00CC6E4E" w:rsidRDefault="00DB1DB9" w:rsidP="00947593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Kč</w:t>
            </w:r>
          </w:p>
        </w:tc>
      </w:tr>
      <w:tr w:rsidR="00DB1DB9" w:rsidTr="00947593">
        <w:trPr>
          <w:cantSplit/>
          <w:trHeight w:val="283"/>
        </w:trPr>
        <w:tc>
          <w:tcPr>
            <w:tcW w:w="779" w:type="dxa"/>
            <w:vMerge/>
          </w:tcPr>
          <w:p w:rsidR="00DB1DB9" w:rsidRDefault="00DB1DB9" w:rsidP="00947593">
            <w:pPr>
              <w:rPr>
                <w:b/>
              </w:rPr>
            </w:pPr>
          </w:p>
        </w:tc>
        <w:tc>
          <w:tcPr>
            <w:tcW w:w="5450" w:type="dxa"/>
            <w:tcBorders>
              <w:top w:val="nil"/>
            </w:tcBorders>
          </w:tcPr>
          <w:p w:rsidR="00DB1DB9" w:rsidRDefault="00DB1DB9" w:rsidP="00947593">
            <w:pPr>
              <w:rPr>
                <w:b/>
              </w:rPr>
            </w:pPr>
            <w:r>
              <w:rPr>
                <w:b/>
              </w:rPr>
              <w:t>1</w:t>
            </w:r>
            <w:r w:rsidRPr="00CC6E4E">
              <w:rPr>
                <w:b/>
                <w:sz w:val="24"/>
                <w:szCs w:val="24"/>
              </w:rPr>
              <w:t>. Osobní náklady</w:t>
            </w:r>
          </w:p>
        </w:tc>
        <w:tc>
          <w:tcPr>
            <w:tcW w:w="1779" w:type="dxa"/>
            <w:tcBorders>
              <w:top w:val="nil"/>
            </w:tcBorders>
          </w:tcPr>
          <w:p w:rsidR="00DB1DB9" w:rsidRPr="00841771" w:rsidRDefault="00DB1DB9" w:rsidP="00947593">
            <w:pPr>
              <w:jc w:val="both"/>
              <w:rPr>
                <w:b/>
              </w:rPr>
            </w:pPr>
            <w:r w:rsidRPr="00841771">
              <w:rPr>
                <w:b/>
              </w:rPr>
              <w:t xml:space="preserve">        </w:t>
            </w:r>
            <w:r w:rsidR="009E298A" w:rsidRPr="009E298A">
              <w:rPr>
                <w:b/>
              </w:rPr>
              <w:t>2 042 025</w:t>
            </w:r>
            <w:r w:rsidRPr="00841771">
              <w:rPr>
                <w:b/>
              </w:rPr>
              <w:t xml:space="preserve">  </w:t>
            </w:r>
          </w:p>
        </w:tc>
        <w:tc>
          <w:tcPr>
            <w:tcW w:w="2190" w:type="dxa"/>
            <w:tcBorders>
              <w:top w:val="nil"/>
            </w:tcBorders>
          </w:tcPr>
          <w:p w:rsidR="00DB1DB9" w:rsidRPr="00841771" w:rsidRDefault="00DB1DB9" w:rsidP="00947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  <w:r w:rsidRPr="00841771">
              <w:rPr>
                <w:b/>
              </w:rPr>
              <w:t xml:space="preserve">          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Pracovní smlouvy</w:t>
            </w:r>
            <w:r w:rsidR="009E298A">
              <w:t>, včetně odvodů</w:t>
            </w:r>
          </w:p>
        </w:tc>
        <w:tc>
          <w:tcPr>
            <w:tcW w:w="1779" w:type="dxa"/>
          </w:tcPr>
          <w:p w:rsidR="00DB1DB9" w:rsidRDefault="00DB1DB9" w:rsidP="009E298A">
            <w:pPr>
              <w:jc w:val="center"/>
            </w:pPr>
            <w:r>
              <w:t>1 </w:t>
            </w:r>
            <w:r w:rsidR="009E298A">
              <w:t>934</w:t>
            </w:r>
            <w:r>
              <w:t xml:space="preserve"> </w:t>
            </w:r>
            <w:r w:rsidR="009E298A">
              <w:t>960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DPČ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9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DPP</w:t>
            </w:r>
          </w:p>
        </w:tc>
        <w:tc>
          <w:tcPr>
            <w:tcW w:w="1779" w:type="dxa"/>
          </w:tcPr>
          <w:p w:rsidR="00DB1DB9" w:rsidRDefault="009E298A" w:rsidP="009E298A">
            <w:pPr>
              <w:jc w:val="center"/>
            </w:pPr>
            <w:r>
              <w:t>101</w:t>
            </w:r>
            <w:r w:rsidR="00DB1DB9">
              <w:t xml:space="preserve"> 000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E298A">
            <w:pPr>
              <w:pStyle w:val="Styl2"/>
            </w:pPr>
            <w:r>
              <w:t>O</w:t>
            </w:r>
            <w:r w:rsidR="009E298A">
              <w:t>statní sociální náklady</w:t>
            </w:r>
          </w:p>
        </w:tc>
        <w:tc>
          <w:tcPr>
            <w:tcW w:w="1779" w:type="dxa"/>
          </w:tcPr>
          <w:p w:rsidR="00DB1DB9" w:rsidRDefault="009E298A" w:rsidP="00947593">
            <w:pPr>
              <w:jc w:val="center"/>
            </w:pPr>
            <w:r>
              <w:t>6 065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>
            <w:pPr>
              <w:pStyle w:val="Nadpis6"/>
              <w:rPr>
                <w:lang w:val="cs-CZ"/>
              </w:rPr>
            </w:pPr>
          </w:p>
        </w:tc>
        <w:tc>
          <w:tcPr>
            <w:tcW w:w="5450" w:type="dxa"/>
          </w:tcPr>
          <w:p w:rsidR="00DB1DB9" w:rsidRPr="00CC6E4E" w:rsidRDefault="00DB1DB9" w:rsidP="00947593">
            <w:pPr>
              <w:pStyle w:val="Nadpis6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2.</w:t>
            </w:r>
            <w:r w:rsidRPr="00CC6E4E">
              <w:rPr>
                <w:sz w:val="24"/>
                <w:szCs w:val="24"/>
                <w:lang w:val="cs-CZ"/>
              </w:rPr>
              <w:t xml:space="preserve"> Materiálové náklady</w:t>
            </w:r>
          </w:p>
        </w:tc>
        <w:tc>
          <w:tcPr>
            <w:tcW w:w="1779" w:type="dxa"/>
          </w:tcPr>
          <w:p w:rsidR="00DB1DB9" w:rsidRPr="00841771" w:rsidRDefault="009E298A" w:rsidP="009E29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B1DB9" w:rsidRPr="00841771">
              <w:rPr>
                <w:b/>
              </w:rPr>
              <w:t xml:space="preserve">9 </w:t>
            </w:r>
            <w:r>
              <w:rPr>
                <w:b/>
              </w:rPr>
              <w:t>375</w:t>
            </w:r>
          </w:p>
        </w:tc>
        <w:tc>
          <w:tcPr>
            <w:tcW w:w="2190" w:type="dxa"/>
          </w:tcPr>
          <w:p w:rsidR="00DB1DB9" w:rsidRPr="00841771" w:rsidRDefault="00DB1DB9" w:rsidP="00947593">
            <w:pPr>
              <w:jc w:val="center"/>
              <w:rPr>
                <w:b/>
              </w:rPr>
            </w:pPr>
            <w:r>
              <w:rPr>
                <w:b/>
              </w:rPr>
              <w:t>59 000</w:t>
            </w:r>
          </w:p>
        </w:tc>
      </w:tr>
      <w:tr w:rsidR="00DB1DB9" w:rsidTr="00947593">
        <w:trPr>
          <w:cantSplit/>
          <w:trHeight w:val="319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Potraviny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5 000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Kancelářské potřeby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15 000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10 000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Jiné materiálové náklady (</w:t>
            </w:r>
            <w:proofErr w:type="gramStart"/>
            <w:r>
              <w:t>čistící</w:t>
            </w:r>
            <w:proofErr w:type="gramEnd"/>
            <w:r>
              <w:t xml:space="preserve"> prostředky, výtvarné potřeby aj.)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24 613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24 000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Vybavení (služební notebook, nábytek aj.)</w:t>
            </w:r>
          </w:p>
        </w:tc>
        <w:tc>
          <w:tcPr>
            <w:tcW w:w="1779" w:type="dxa"/>
          </w:tcPr>
          <w:p w:rsidR="00DB1DB9" w:rsidRDefault="009E298A" w:rsidP="00947593">
            <w:pPr>
              <w:jc w:val="center"/>
            </w:pPr>
            <w:r>
              <w:t>44 762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25 000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9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2E2CB4">
        <w:trPr>
          <w:cantSplit/>
          <w:trHeight w:val="421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>
            <w:pPr>
              <w:rPr>
                <w:b/>
              </w:rPr>
            </w:pPr>
          </w:p>
        </w:tc>
        <w:tc>
          <w:tcPr>
            <w:tcW w:w="5450" w:type="dxa"/>
          </w:tcPr>
          <w:p w:rsidR="00DB1DB9" w:rsidRPr="00CC6E4E" w:rsidRDefault="00DB1DB9" w:rsidP="00947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C6E4E">
              <w:rPr>
                <w:b/>
                <w:sz w:val="24"/>
                <w:szCs w:val="24"/>
              </w:rPr>
              <w:t xml:space="preserve"> Nemateriálové náklady (služby)</w:t>
            </w:r>
          </w:p>
        </w:tc>
        <w:tc>
          <w:tcPr>
            <w:tcW w:w="1779" w:type="dxa"/>
          </w:tcPr>
          <w:p w:rsidR="00DB1DB9" w:rsidRPr="00841771" w:rsidRDefault="002E2CB4" w:rsidP="002E2CB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DB1DB9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DB1DB9">
              <w:rPr>
                <w:b/>
              </w:rPr>
              <w:t>00</w:t>
            </w:r>
          </w:p>
        </w:tc>
        <w:tc>
          <w:tcPr>
            <w:tcW w:w="2190" w:type="dxa"/>
          </w:tcPr>
          <w:p w:rsidR="00DB1DB9" w:rsidRPr="00841771" w:rsidRDefault="00DB1DB9" w:rsidP="00947593">
            <w:pPr>
              <w:jc w:val="center"/>
              <w:rPr>
                <w:b/>
              </w:rPr>
            </w:pPr>
            <w:r w:rsidRPr="00841771">
              <w:rPr>
                <w:b/>
              </w:rPr>
              <w:t>21 000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 xml:space="preserve">Cestovné 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3 000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1 000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Telefony (služební telefonní čísla)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15 000</w:t>
            </w:r>
          </w:p>
        </w:tc>
        <w:tc>
          <w:tcPr>
            <w:tcW w:w="2190" w:type="dxa"/>
          </w:tcPr>
          <w:p w:rsidR="00DB1DB9" w:rsidRDefault="002E2CB4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 xml:space="preserve">Poštovné </w:t>
            </w:r>
          </w:p>
        </w:tc>
        <w:tc>
          <w:tcPr>
            <w:tcW w:w="1779" w:type="dxa"/>
          </w:tcPr>
          <w:p w:rsidR="00DB1DB9" w:rsidRDefault="009E298A" w:rsidP="00947593">
            <w:pPr>
              <w:jc w:val="center"/>
            </w:pPr>
            <w:r>
              <w:t>6</w:t>
            </w:r>
            <w:r w:rsidR="00DB1DB9">
              <w:t>00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Právní a ekonomické služby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10 000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Školení a kurzy, včetně náklad na supervize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30 000</w:t>
            </w: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  <w:r>
              <w:t>10 000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>
            <w:pPr>
              <w:pStyle w:val="Styl2"/>
            </w:pPr>
            <w:r>
              <w:t>Jiné služby (pojištění, publicita, bankovní poplatky)</w:t>
            </w: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  <w:r>
              <w:t>10 000</w:t>
            </w:r>
          </w:p>
        </w:tc>
        <w:tc>
          <w:tcPr>
            <w:tcW w:w="2190" w:type="dxa"/>
          </w:tcPr>
          <w:p w:rsidR="00DB1DB9" w:rsidRDefault="002E2CB4" w:rsidP="00947593">
            <w:pPr>
              <w:jc w:val="center"/>
            </w:pPr>
            <w:r>
              <w:t>10 00</w:t>
            </w:r>
            <w:r w:rsidR="00DB1DB9">
              <w:t>0</w:t>
            </w:r>
          </w:p>
        </w:tc>
      </w:tr>
      <w:tr w:rsidR="002E2CB4" w:rsidTr="00947593">
        <w:trPr>
          <w:gridAfter w:val="3"/>
          <w:wAfter w:w="9419" w:type="dxa"/>
          <w:cantSplit/>
          <w:trHeight w:val="318"/>
        </w:trPr>
        <w:tc>
          <w:tcPr>
            <w:tcW w:w="779" w:type="dxa"/>
            <w:vMerge/>
          </w:tcPr>
          <w:p w:rsidR="002E2CB4" w:rsidRDefault="002E2CB4" w:rsidP="00947593"/>
        </w:tc>
      </w:tr>
      <w:tr w:rsidR="002E2CB4" w:rsidTr="00947593">
        <w:trPr>
          <w:gridAfter w:val="3"/>
          <w:wAfter w:w="9419" w:type="dxa"/>
          <w:cantSplit/>
          <w:trHeight w:val="318"/>
        </w:trPr>
        <w:tc>
          <w:tcPr>
            <w:tcW w:w="779" w:type="dxa"/>
            <w:vMerge/>
          </w:tcPr>
          <w:p w:rsidR="002E2CB4" w:rsidRDefault="002E2CB4" w:rsidP="00947593"/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>
            <w:pPr>
              <w:pStyle w:val="Nadpis6"/>
            </w:pPr>
          </w:p>
        </w:tc>
        <w:tc>
          <w:tcPr>
            <w:tcW w:w="5450" w:type="dxa"/>
          </w:tcPr>
          <w:p w:rsidR="00DB1DB9" w:rsidRPr="00CC6E4E" w:rsidRDefault="00DB1DB9" w:rsidP="00947593">
            <w:pPr>
              <w:pStyle w:val="Nadpis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Jiné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6E4E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</w:tcPr>
          <w:p w:rsidR="00DB1DB9" w:rsidRPr="00CC057E" w:rsidRDefault="00DB1DB9" w:rsidP="00947593">
            <w:pPr>
              <w:jc w:val="center"/>
              <w:rPr>
                <w:b/>
              </w:rPr>
            </w:pPr>
            <w:r w:rsidRPr="00CC057E">
              <w:rPr>
                <w:b/>
              </w:rPr>
              <w:t>0</w:t>
            </w:r>
          </w:p>
        </w:tc>
        <w:tc>
          <w:tcPr>
            <w:tcW w:w="2190" w:type="dxa"/>
          </w:tcPr>
          <w:p w:rsidR="00DB1DB9" w:rsidRPr="00CC057E" w:rsidRDefault="00DB1DB9" w:rsidP="00947593">
            <w:pPr>
              <w:jc w:val="center"/>
              <w:rPr>
                <w:b/>
              </w:rPr>
            </w:pPr>
            <w:r w:rsidRPr="00CC057E">
              <w:rPr>
                <w:b/>
              </w:rPr>
              <w:t>0</w:t>
            </w: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9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Default="00DB1DB9" w:rsidP="00947593"/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Default="00DB1DB9" w:rsidP="00947593"/>
        </w:tc>
        <w:tc>
          <w:tcPr>
            <w:tcW w:w="5450" w:type="dxa"/>
          </w:tcPr>
          <w:p w:rsidR="00DB1DB9" w:rsidRPr="005E6ECD" w:rsidRDefault="00DB1DB9" w:rsidP="00947593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B1DB9" w:rsidRDefault="00DB1DB9" w:rsidP="00947593">
            <w:pPr>
              <w:jc w:val="center"/>
            </w:pPr>
          </w:p>
        </w:tc>
        <w:tc>
          <w:tcPr>
            <w:tcW w:w="2190" w:type="dxa"/>
          </w:tcPr>
          <w:p w:rsidR="00DB1DB9" w:rsidRDefault="00DB1DB9" w:rsidP="00947593">
            <w:pPr>
              <w:jc w:val="center"/>
            </w:pPr>
          </w:p>
        </w:tc>
      </w:tr>
      <w:tr w:rsidR="00DB1DB9" w:rsidTr="00947593">
        <w:trPr>
          <w:cantSplit/>
          <w:trHeight w:val="318"/>
        </w:trPr>
        <w:tc>
          <w:tcPr>
            <w:tcW w:w="779" w:type="dxa"/>
            <w:vMerge/>
          </w:tcPr>
          <w:p w:rsidR="00DB1DB9" w:rsidRPr="00563ECA" w:rsidRDefault="00DB1DB9" w:rsidP="00947593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DB1DB9" w:rsidRPr="002279B4" w:rsidRDefault="00DB1DB9" w:rsidP="00947593">
            <w:pPr>
              <w:rPr>
                <w:b/>
                <w:sz w:val="28"/>
                <w:szCs w:val="28"/>
              </w:rPr>
            </w:pPr>
            <w:r w:rsidRPr="002279B4">
              <w:rPr>
                <w:b/>
                <w:sz w:val="28"/>
                <w:szCs w:val="28"/>
              </w:rPr>
              <w:t>CELKEM</w:t>
            </w:r>
            <w:r>
              <w:rPr>
                <w:b/>
                <w:sz w:val="28"/>
                <w:szCs w:val="28"/>
              </w:rPr>
              <w:t xml:space="preserve"> výdaje</w:t>
            </w:r>
          </w:p>
        </w:tc>
        <w:tc>
          <w:tcPr>
            <w:tcW w:w="1779" w:type="dxa"/>
          </w:tcPr>
          <w:p w:rsidR="00DB1DB9" w:rsidRPr="00841771" w:rsidRDefault="002E2CB4" w:rsidP="002E2C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1DB9" w:rsidRPr="00841771">
              <w:rPr>
                <w:b/>
              </w:rPr>
              <w:t> </w:t>
            </w:r>
            <w:r>
              <w:rPr>
                <w:b/>
              </w:rPr>
              <w:t>2</w:t>
            </w:r>
            <w:r w:rsidR="00DB1DB9" w:rsidRPr="00841771">
              <w:rPr>
                <w:b/>
              </w:rPr>
              <w:t>00 000</w:t>
            </w:r>
          </w:p>
        </w:tc>
        <w:tc>
          <w:tcPr>
            <w:tcW w:w="2190" w:type="dxa"/>
          </w:tcPr>
          <w:p w:rsidR="00DB1DB9" w:rsidRPr="00841771" w:rsidRDefault="00DB1DB9" w:rsidP="00947593">
            <w:pPr>
              <w:jc w:val="center"/>
              <w:rPr>
                <w:b/>
              </w:rPr>
            </w:pPr>
            <w:r w:rsidRPr="00841771">
              <w:rPr>
                <w:b/>
              </w:rPr>
              <w:t>80 000</w:t>
            </w:r>
          </w:p>
        </w:tc>
      </w:tr>
    </w:tbl>
    <w:p w:rsidR="006E5066" w:rsidRDefault="006E5066" w:rsidP="00A7138D"/>
    <w:p w:rsidR="00DB1DB9" w:rsidRDefault="00DB1DB9" w:rsidP="00A7138D"/>
    <w:p w:rsidR="00DB1DB9" w:rsidRDefault="00DB1DB9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9E298A" w:rsidP="009E298A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120 000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1 800 000</w:t>
            </w: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30 000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11"/>
        <w:gridCol w:w="2315"/>
        <w:gridCol w:w="2315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</w:t>
            </w:r>
            <w:r w:rsidR="00DB1DB9">
              <w:rPr>
                <w:b/>
                <w:sz w:val="24"/>
                <w:lang w:eastAsia="en-US"/>
              </w:rPr>
              <w:t>–</w:t>
            </w:r>
            <w:r w:rsidR="00B00887">
              <w:rPr>
                <w:b/>
                <w:sz w:val="24"/>
                <w:lang w:eastAsia="en-US"/>
              </w:rPr>
              <w:t xml:space="preserve">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1 095 100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1 298 000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348 600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249 900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232 800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441 630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27 867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29 998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DB1DB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80 000,- Kč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DB1DB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1. 2016 – 31. 12. 2016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2E2CB4" w:rsidRDefault="002E2CB4" w:rsidP="00A7138D">
      <w:pPr>
        <w:rPr>
          <w:b/>
          <w:sz w:val="28"/>
          <w:szCs w:val="28"/>
        </w:rPr>
      </w:pPr>
    </w:p>
    <w:p w:rsidR="002E2CB4" w:rsidRDefault="002E2CB4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V </w:t>
      </w:r>
      <w:proofErr w:type="gramStart"/>
      <w:r w:rsidR="00DB1DB9">
        <w:rPr>
          <w:sz w:val="24"/>
        </w:rPr>
        <w:t>Praze</w:t>
      </w:r>
      <w:r>
        <w:rPr>
          <w:sz w:val="24"/>
        </w:rPr>
        <w:t xml:space="preserve">  dne</w:t>
      </w:r>
      <w:proofErr w:type="gramEnd"/>
      <w:r>
        <w:rPr>
          <w:sz w:val="24"/>
        </w:rPr>
        <w:t xml:space="preserve"> </w:t>
      </w:r>
      <w:r w:rsidR="00DB1DB9">
        <w:rPr>
          <w:sz w:val="24"/>
        </w:rPr>
        <w:t>10. 3.</w:t>
      </w:r>
      <w:r>
        <w:rPr>
          <w:sz w:val="24"/>
        </w:rPr>
        <w:t xml:space="preserve"> 201</w:t>
      </w:r>
      <w:r w:rsidR="00DB1DB9">
        <w:rPr>
          <w:sz w:val="24"/>
        </w:rPr>
        <w:t>6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DB1DB9" w:rsidP="00DB1DB9">
      <w:pPr>
        <w:jc w:val="right"/>
        <w:rPr>
          <w:sz w:val="24"/>
          <w:szCs w:val="24"/>
        </w:rPr>
      </w:pPr>
      <w:r>
        <w:rPr>
          <w:sz w:val="24"/>
          <w:szCs w:val="24"/>
        </w:rPr>
        <w:t>Mgr. Ivana Štefková, ředitelka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 xml:space="preserve">mulář, neboť neúplné </w:t>
      </w:r>
      <w:proofErr w:type="gramStart"/>
      <w:r>
        <w:rPr>
          <w:b/>
          <w:i/>
          <w:sz w:val="24"/>
          <w:szCs w:val="24"/>
        </w:rPr>
        <w:t>žádost</w:t>
      </w:r>
      <w:r w:rsidR="0099382F">
        <w:rPr>
          <w:b/>
          <w:i/>
          <w:sz w:val="24"/>
          <w:szCs w:val="24"/>
        </w:rPr>
        <w:t xml:space="preserve">i                  </w:t>
      </w:r>
      <w:bookmarkStart w:id="0" w:name="_GoBack"/>
      <w:bookmarkEnd w:id="0"/>
      <w:r w:rsidRPr="00D718B5">
        <w:rPr>
          <w:b/>
          <w:i/>
          <w:sz w:val="24"/>
          <w:szCs w:val="24"/>
        </w:rPr>
        <w:t>(s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46" w:rsidRDefault="00DB6346" w:rsidP="000C2435">
      <w:r>
        <w:separator/>
      </w:r>
    </w:p>
  </w:endnote>
  <w:endnote w:type="continuationSeparator" w:id="0">
    <w:p w:rsidR="00DB6346" w:rsidRDefault="00DB6346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B4">
          <w:rPr>
            <w:noProof/>
          </w:rPr>
          <w:t>6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46" w:rsidRDefault="00DB6346" w:rsidP="000C2435">
      <w:r>
        <w:separator/>
      </w:r>
    </w:p>
  </w:footnote>
  <w:footnote w:type="continuationSeparator" w:id="0">
    <w:p w:rsidR="00DB6346" w:rsidRDefault="00DB6346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92D66"/>
    <w:multiLevelType w:val="hybridMultilevel"/>
    <w:tmpl w:val="2D6AB13C"/>
    <w:lvl w:ilvl="0" w:tplc="C7081626">
      <w:start w:val="9"/>
      <w:numFmt w:val="bullet"/>
      <w:pStyle w:val="Styl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34A"/>
    <w:multiLevelType w:val="hybridMultilevel"/>
    <w:tmpl w:val="53882226"/>
    <w:lvl w:ilvl="0" w:tplc="507298BE">
      <w:start w:val="4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31831"/>
    <w:multiLevelType w:val="hybridMultilevel"/>
    <w:tmpl w:val="AEDE1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BC9E8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34D"/>
    <w:multiLevelType w:val="hybridMultilevel"/>
    <w:tmpl w:val="B14AC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D"/>
    <w:rsid w:val="0007131D"/>
    <w:rsid w:val="000C2435"/>
    <w:rsid w:val="00156AE8"/>
    <w:rsid w:val="00183EFD"/>
    <w:rsid w:val="001B514F"/>
    <w:rsid w:val="001D3880"/>
    <w:rsid w:val="00225A70"/>
    <w:rsid w:val="002E2CB4"/>
    <w:rsid w:val="00385350"/>
    <w:rsid w:val="00392DB5"/>
    <w:rsid w:val="004F3D24"/>
    <w:rsid w:val="00572B15"/>
    <w:rsid w:val="005F09A8"/>
    <w:rsid w:val="006265B0"/>
    <w:rsid w:val="00655C40"/>
    <w:rsid w:val="006E5066"/>
    <w:rsid w:val="0071126A"/>
    <w:rsid w:val="00856965"/>
    <w:rsid w:val="00877355"/>
    <w:rsid w:val="00891445"/>
    <w:rsid w:val="00900B86"/>
    <w:rsid w:val="009728A2"/>
    <w:rsid w:val="00972F2E"/>
    <w:rsid w:val="0099382F"/>
    <w:rsid w:val="009E298A"/>
    <w:rsid w:val="00A7138D"/>
    <w:rsid w:val="00AE6373"/>
    <w:rsid w:val="00B00887"/>
    <w:rsid w:val="00BA29A9"/>
    <w:rsid w:val="00BB46CA"/>
    <w:rsid w:val="00DB1DB9"/>
    <w:rsid w:val="00DB6346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B095-3488-4C51-98AD-A73E7D8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3D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3D24"/>
    <w:pPr>
      <w:ind w:left="720"/>
      <w:contextualSpacing/>
    </w:pPr>
    <w:rPr>
      <w:sz w:val="24"/>
      <w:szCs w:val="24"/>
    </w:rPr>
  </w:style>
  <w:style w:type="paragraph" w:customStyle="1" w:styleId="Styl2">
    <w:name w:val="Styl2"/>
    <w:basedOn w:val="Odstavecseseznamem"/>
    <w:qFormat/>
    <w:rsid w:val="004F3D24"/>
    <w:pPr>
      <w:numPr>
        <w:numId w:val="5"/>
      </w:numPr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pose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nepose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33BD-A560-4C68-9792-49B2D19A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1604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Ivana Štefková</cp:lastModifiedBy>
  <cp:revision>2</cp:revision>
  <cp:lastPrinted>2015-01-20T13:26:00Z</cp:lastPrinted>
  <dcterms:created xsi:type="dcterms:W3CDTF">2016-03-11T19:34:00Z</dcterms:created>
  <dcterms:modified xsi:type="dcterms:W3CDTF">2016-03-11T19:34:00Z</dcterms:modified>
</cp:coreProperties>
</file>