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CD" w:rsidRDefault="007837CD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93ACD2E" wp14:editId="2B2B4C37">
            <wp:extent cx="695325" cy="781050"/>
            <wp:effectExtent l="0" t="0" r="9525" b="0"/>
            <wp:docPr id="1" name="Obrázek 1" descr="cid:image003.jpg@01CEF7EA.3EB04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3.jpg@01CEF7EA.3EB043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B68" w:rsidRDefault="00C42F6E" w:rsidP="00C42F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42F6E">
        <w:rPr>
          <w:rFonts w:ascii="Times New Roman" w:hAnsi="Times New Roman" w:cs="Times New Roman"/>
          <w:b/>
          <w:sz w:val="24"/>
          <w:szCs w:val="24"/>
        </w:rPr>
        <w:t>Zápis k vyúčtování finančních prostředků poskytnutých MČ Praha 20 v rámci dotačního programu pro rok 2015</w:t>
      </w:r>
    </w:p>
    <w:bookmarkEnd w:id="0"/>
    <w:p w:rsidR="00C42F6E" w:rsidRDefault="00C42F6E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C42F6E" w:rsidTr="008A56CD">
        <w:tc>
          <w:tcPr>
            <w:tcW w:w="4077" w:type="dxa"/>
          </w:tcPr>
          <w:p w:rsidR="00BA7C56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Název kontrolovaného subjektu</w:t>
            </w:r>
          </w:p>
          <w:p w:rsidR="00C42F6E" w:rsidRPr="00734FAE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5" w:type="dxa"/>
          </w:tcPr>
          <w:p w:rsidR="00734FAE" w:rsidRPr="00BA7C56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56">
              <w:rPr>
                <w:rFonts w:ascii="Times New Roman" w:hAnsi="Times New Roman" w:cs="Times New Roman"/>
                <w:b/>
                <w:sz w:val="24"/>
                <w:szCs w:val="24"/>
              </w:rPr>
              <w:t>Tělovýchovná jednota Sokol Horní Počernice</w:t>
            </w:r>
          </w:p>
        </w:tc>
      </w:tr>
      <w:tr w:rsidR="00C42F6E" w:rsidTr="008A56CD">
        <w:tc>
          <w:tcPr>
            <w:tcW w:w="4077" w:type="dxa"/>
          </w:tcPr>
          <w:p w:rsidR="00734FAE" w:rsidRPr="00734FAE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FAE">
              <w:rPr>
                <w:rFonts w:ascii="Times New Roman" w:hAnsi="Times New Roman" w:cs="Times New Roman"/>
                <w:b/>
                <w:sz w:val="24"/>
                <w:szCs w:val="24"/>
              </w:rPr>
              <w:t>Název projektu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č. smlouvy</w:t>
            </w:r>
          </w:p>
        </w:tc>
        <w:tc>
          <w:tcPr>
            <w:tcW w:w="5135" w:type="dxa"/>
          </w:tcPr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Podpora celoročních sportovních aktivit v TJ a provozu vlastních sportovních zařízení TJ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56" w:rsidRPr="00BA7C56" w:rsidRDefault="00BA7C56" w:rsidP="00BA7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C56">
              <w:rPr>
                <w:rFonts w:ascii="Times New Roman" w:hAnsi="Times New Roman" w:cs="Times New Roman"/>
                <w:b/>
                <w:sz w:val="24"/>
                <w:szCs w:val="24"/>
              </w:rPr>
              <w:t>S/30/2015/0032</w:t>
            </w:r>
          </w:p>
          <w:p w:rsidR="00BA7C56" w:rsidRDefault="00BA7C56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F6E" w:rsidRPr="008A56CD" w:rsidRDefault="00C42F6E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2F6E" w:rsidTr="008A56CD">
        <w:tc>
          <w:tcPr>
            <w:tcW w:w="4077" w:type="dxa"/>
          </w:tcPr>
          <w:p w:rsidR="00C42F6E" w:rsidRPr="00734FAE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Kontrolované období</w:t>
            </w:r>
          </w:p>
        </w:tc>
        <w:tc>
          <w:tcPr>
            <w:tcW w:w="5135" w:type="dxa"/>
          </w:tcPr>
          <w:p w:rsidR="00734FAE" w:rsidRDefault="00AF6CC9" w:rsidP="00BA7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BA7C56" w:rsidTr="008A56CD">
        <w:tc>
          <w:tcPr>
            <w:tcW w:w="4077" w:type="dxa"/>
          </w:tcPr>
          <w:p w:rsidR="00BA7C56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uskutečnění kontroly</w:t>
            </w:r>
          </w:p>
        </w:tc>
        <w:tc>
          <w:tcPr>
            <w:tcW w:w="5135" w:type="dxa"/>
          </w:tcPr>
          <w:p w:rsidR="00BA7C56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16.3.2016</w:t>
            </w:r>
            <w:proofErr w:type="gramEnd"/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Cíl kontroly</w:t>
            </w:r>
          </w:p>
        </w:tc>
        <w:tc>
          <w:tcPr>
            <w:tcW w:w="5135" w:type="dxa"/>
          </w:tcPr>
          <w:p w:rsidR="00AF6CC9" w:rsidRDefault="00634AE7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Průběžná veřejnosprávní kontrola závěrečného vyúčtování poskytnuté dotace pro rok 2015 v celkové výši 330.400,- Kč</w:t>
            </w:r>
          </w:p>
          <w:p w:rsidR="00634AE7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dodržení účelu a uznatelnosti výdajů</w:t>
            </w:r>
          </w:p>
          <w:p w:rsidR="0060157E" w:rsidRDefault="00FE2406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náležitosti účetních dokladů</w:t>
            </w:r>
          </w:p>
          <w:p w:rsidR="0060157E" w:rsidRPr="0060157E" w:rsidRDefault="0060157E" w:rsidP="0060157E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ostatní </w:t>
            </w:r>
          </w:p>
        </w:tc>
      </w:tr>
      <w:tr w:rsidR="00AF6CC9" w:rsidTr="008A56CD">
        <w:tc>
          <w:tcPr>
            <w:tcW w:w="4077" w:type="dxa"/>
          </w:tcPr>
          <w:p w:rsidR="00AF6CC9" w:rsidRDefault="00AF6CC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Kontrolu provedl</w:t>
            </w:r>
          </w:p>
        </w:tc>
        <w:tc>
          <w:tcPr>
            <w:tcW w:w="5135" w:type="dxa"/>
          </w:tcPr>
          <w:p w:rsidR="008461F3" w:rsidRDefault="008461F3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 ekonomický</w:t>
            </w:r>
          </w:p>
          <w:p w:rsidR="00AF6CC9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Petra Horáková</w:t>
            </w:r>
          </w:p>
          <w:p w:rsidR="008461F3" w:rsidRDefault="00AF6CC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 OE</w:t>
            </w:r>
          </w:p>
        </w:tc>
      </w:tr>
      <w:tr w:rsidR="00634AE7" w:rsidTr="008A56CD">
        <w:tc>
          <w:tcPr>
            <w:tcW w:w="4077" w:type="dxa"/>
          </w:tcPr>
          <w:p w:rsidR="00634AE7" w:rsidRDefault="00634AE7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Platná legislativa</w:t>
            </w:r>
          </w:p>
        </w:tc>
        <w:tc>
          <w:tcPr>
            <w:tcW w:w="5135" w:type="dxa"/>
          </w:tcPr>
          <w:p w:rsidR="00AE74DF" w:rsidRDefault="00AE74DF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Zákon č. 250/2000 Sb., 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č. 320/2001 Sb., o finanční kontrole ve veřejné správě a o změně některých zákonů (zákon o finanční kontrole), ve znění pozdějších předpisů</w:t>
            </w:r>
          </w:p>
          <w:p w:rsidR="002C69D9" w:rsidRPr="002C69D9" w:rsidRDefault="002C69D9" w:rsidP="008E6DE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Vyhláška č. 416/2004 Sb., kterou se provádí zákon č. 320/2001 Sb., o finanční kontrole, ve znění pozdějších předpisů</w:t>
            </w:r>
          </w:p>
          <w:p w:rsidR="00634AE7" w:rsidRDefault="002C69D9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69D9">
              <w:rPr>
                <w:rFonts w:ascii="Times New Roman" w:hAnsi="Times New Roman" w:cs="Times New Roman"/>
                <w:sz w:val="24"/>
                <w:szCs w:val="24"/>
              </w:rPr>
              <w:t>Zákon o účetnictví č. 563/1991 Sb.</w:t>
            </w:r>
          </w:p>
          <w:p w:rsidR="008F336C" w:rsidRPr="002C69D9" w:rsidRDefault="00B12E9E" w:rsidP="002C69D9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Vnitřní směrnice Finanční </w:t>
            </w:r>
            <w:r w:rsidR="00622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kontrola (IA), účinná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1.6.2015</w:t>
            </w:r>
            <w:proofErr w:type="gramEnd"/>
          </w:p>
        </w:tc>
      </w:tr>
    </w:tbl>
    <w:p w:rsidR="00C42F6E" w:rsidRDefault="00C42F6E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B7ED9" w:rsidTr="009B7ED9">
        <w:tc>
          <w:tcPr>
            <w:tcW w:w="9212" w:type="dxa"/>
          </w:tcPr>
          <w:p w:rsidR="009B7ED9" w:rsidRPr="009B7ED9" w:rsidRDefault="009B7ED9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ED9">
              <w:rPr>
                <w:rFonts w:ascii="Times New Roman" w:hAnsi="Times New Roman" w:cs="Times New Roman"/>
                <w:b/>
                <w:sz w:val="24"/>
                <w:szCs w:val="24"/>
              </w:rPr>
              <w:t>Výsledek kontroly</w:t>
            </w:r>
          </w:p>
          <w:p w:rsidR="009B7ED9" w:rsidRDefault="009B7ED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ED9" w:rsidRDefault="009E0CA4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Při kontrole vyúčtování byly zjištěny následující nedostatky:</w:t>
            </w:r>
          </w:p>
          <w:p w:rsidR="00D059FB" w:rsidRDefault="00D059FB" w:rsidP="00D059FB">
            <w:pPr>
              <w:pStyle w:val="Zkladntext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Formulář vyúčtování dotace v části VIII. Účelové použití dotace neobsahuje položky „částka hrazená z dotace MČ“. Tento sloupec j</w:t>
            </w:r>
            <w:r w:rsidR="00F27168">
              <w:rPr>
                <w:szCs w:val="24"/>
              </w:rPr>
              <w:t>e příjemce dotace povinen</w:t>
            </w:r>
            <w:r>
              <w:rPr>
                <w:szCs w:val="24"/>
              </w:rPr>
              <w:t xml:space="preserve"> předložit, neboť pouze tyto položky jsou předmětem kontroly vyúčtování v návaznosti na </w:t>
            </w:r>
            <w:proofErr w:type="gramStart"/>
            <w:r w:rsidR="00F27168">
              <w:rPr>
                <w:szCs w:val="24"/>
              </w:rPr>
              <w:t>žadatelův</w:t>
            </w:r>
            <w:r w:rsidR="005D21F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původní</w:t>
            </w:r>
            <w:proofErr w:type="gramEnd"/>
            <w:r>
              <w:rPr>
                <w:szCs w:val="24"/>
              </w:rPr>
              <w:t xml:space="preserve"> návrh rozpočtu.</w:t>
            </w:r>
          </w:p>
          <w:p w:rsidR="00D059FB" w:rsidRDefault="00D059FB" w:rsidP="00D059FB">
            <w:pPr>
              <w:pStyle w:val="Zkladntext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Chybí daňové doklady za spotřebu elektřiny za prvních 6 měsíců roku 2015. Pražská energetika provádí vyúčtování na území Hl. města Prahy vždy v měsících srpen a září. Z tohoto důvodu si myslíme, že daňové doklady – vyúčtování za první dva kvartály 2015 musí již příjemce dotace mít. Jde konkrétně o tyto položky: </w:t>
            </w:r>
          </w:p>
          <w:p w:rsidR="00D059FB" w:rsidRDefault="00D059FB" w:rsidP="00D059FB">
            <w:pPr>
              <w:pStyle w:val="Zkladntext"/>
              <w:spacing w:before="120"/>
              <w:ind w:firstLine="708"/>
              <w:rPr>
                <w:szCs w:val="24"/>
              </w:rPr>
            </w:pPr>
            <w:r>
              <w:rPr>
                <w:szCs w:val="24"/>
              </w:rPr>
              <w:t xml:space="preserve">PRE </w:t>
            </w:r>
            <w:proofErr w:type="spellStart"/>
            <w:proofErr w:type="gramStart"/>
            <w:r>
              <w:rPr>
                <w:szCs w:val="24"/>
              </w:rPr>
              <w:t>v</w:t>
            </w:r>
            <w:r w:rsidR="00057C7C">
              <w:rPr>
                <w:szCs w:val="24"/>
              </w:rPr>
              <w:t>.</w:t>
            </w:r>
            <w:r>
              <w:rPr>
                <w:szCs w:val="24"/>
              </w:rPr>
              <w:t>s</w:t>
            </w:r>
            <w:proofErr w:type="spellEnd"/>
            <w:r w:rsidR="00057C7C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10120502, částka 12.280,- Kč záloha na období 1-3/2015</w:t>
            </w:r>
          </w:p>
          <w:p w:rsidR="00D059FB" w:rsidRDefault="00D059FB" w:rsidP="00D059FB">
            <w:pPr>
              <w:pStyle w:val="Zkladntext"/>
              <w:spacing w:before="120"/>
              <w:ind w:firstLine="708"/>
              <w:rPr>
                <w:szCs w:val="24"/>
              </w:rPr>
            </w:pPr>
            <w:r>
              <w:rPr>
                <w:szCs w:val="24"/>
              </w:rPr>
              <w:t xml:space="preserve">PRE </w:t>
            </w:r>
            <w:proofErr w:type="spellStart"/>
            <w:proofErr w:type="gramStart"/>
            <w:r>
              <w:rPr>
                <w:szCs w:val="24"/>
              </w:rPr>
              <w:t>v</w:t>
            </w:r>
            <w:r w:rsidR="00057C7C">
              <w:rPr>
                <w:szCs w:val="24"/>
              </w:rPr>
              <w:t>.</w:t>
            </w:r>
            <w:r>
              <w:rPr>
                <w:szCs w:val="24"/>
              </w:rPr>
              <w:t>s</w:t>
            </w:r>
            <w:proofErr w:type="spellEnd"/>
            <w:r w:rsidR="00057C7C"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10120502, částka 12.280,- Kč záloha na období 4-6/2015</w:t>
            </w:r>
          </w:p>
          <w:p w:rsidR="00D059FB" w:rsidRDefault="00D059FB" w:rsidP="00D059FB">
            <w:pPr>
              <w:pStyle w:val="Zkladntext"/>
              <w:spacing w:before="120"/>
              <w:ind w:firstLine="708"/>
              <w:rPr>
                <w:szCs w:val="24"/>
              </w:rPr>
            </w:pPr>
            <w:r>
              <w:rPr>
                <w:szCs w:val="24"/>
              </w:rPr>
              <w:t xml:space="preserve">PRE </w:t>
            </w:r>
            <w:proofErr w:type="spellStart"/>
            <w:proofErr w:type="gramStart"/>
            <w:r>
              <w:rPr>
                <w:szCs w:val="24"/>
              </w:rPr>
              <w:t>v.s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10120503, částka 21.480,- Kč, záloha na období 1-3/2015</w:t>
            </w:r>
          </w:p>
          <w:p w:rsidR="00D059FB" w:rsidRDefault="00D059FB" w:rsidP="00D059FB">
            <w:pPr>
              <w:pStyle w:val="Zkladntext"/>
              <w:spacing w:before="120"/>
              <w:ind w:firstLine="708"/>
              <w:rPr>
                <w:szCs w:val="24"/>
              </w:rPr>
            </w:pPr>
            <w:r>
              <w:rPr>
                <w:szCs w:val="24"/>
              </w:rPr>
              <w:t xml:space="preserve">PRE </w:t>
            </w:r>
            <w:proofErr w:type="spellStart"/>
            <w:proofErr w:type="gramStart"/>
            <w:r>
              <w:rPr>
                <w:szCs w:val="24"/>
              </w:rPr>
              <w:t>v.s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10120503, částka 21.480,- Kč, záloha na období 4-6/2015.</w:t>
            </w:r>
          </w:p>
          <w:p w:rsidR="00D059FB" w:rsidRDefault="00D059FB" w:rsidP="00D059FB">
            <w:pPr>
              <w:pStyle w:val="Zkladntext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U faktur za pronájem bazénu chybí přehledy, kdo a kdy se plavání zúčastnil a proč (triatlon apod.). Většina peněžních prostředků se poskytuje za účelem podpory rozvíjení sportovních aktivit na území MČ Prahy 20 (viz Zásady</w:t>
            </w:r>
            <w:r>
              <w:rPr>
                <w:szCs w:val="24"/>
              </w:rPr>
              <w:br/>
              <w:t>o poskytnutí dotace v oblasti tělovýchovy a sportu), to znamená, že pokud není aktivita uskutečněná na území MČ Prahy 20, je nutné prokázat, že se aktivity (plavání, soustředění apod.) konané mimo území MČ Prahy 20, účastnili děti/sportovci trvale žijící na území MČ Praha 20.</w:t>
            </w:r>
          </w:p>
          <w:p w:rsidR="00D059FB" w:rsidRDefault="00D059FB" w:rsidP="00D059FB">
            <w:pPr>
              <w:pStyle w:val="Zkladntext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Položku ve výši 8.417,- Kč od dodavatele Pražské vodovody a kanalizace a.s., doklad</w:t>
            </w:r>
            <w:r w:rsidR="00926D87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č. 1542020861 se vztahuje k roku 2014. Poskytnuté peněžní prostředky musí být použity pouze na úhradu nákladů vzniklých od </w:t>
            </w:r>
            <w:proofErr w:type="gramStart"/>
            <w:r>
              <w:rPr>
                <w:szCs w:val="24"/>
              </w:rPr>
              <w:t>1.1.2015</w:t>
            </w:r>
            <w:proofErr w:type="gramEnd"/>
            <w:r>
              <w:rPr>
                <w:szCs w:val="24"/>
              </w:rPr>
              <w:t xml:space="preserve"> do 31.12.2015, viz uzavřená smlouva č. S/30/2015/0032. </w:t>
            </w:r>
          </w:p>
          <w:p w:rsidR="00D059FB" w:rsidRDefault="00D059FB" w:rsidP="00D059FB">
            <w:pPr>
              <w:pStyle w:val="Zkladntext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K položce č. 8388290002 ve výši 91.700,- Kč splatná 20.7.2015 od </w:t>
            </w:r>
            <w:proofErr w:type="gramStart"/>
            <w:r>
              <w:rPr>
                <w:szCs w:val="24"/>
              </w:rPr>
              <w:t>Pražská</w:t>
            </w:r>
            <w:proofErr w:type="gramEnd"/>
            <w:r>
              <w:rPr>
                <w:szCs w:val="24"/>
              </w:rPr>
              <w:t xml:space="preserve"> plynárenská, a.s. nebyl přiložen výpis z účtu prokazující odtok finančních prostředků. </w:t>
            </w:r>
          </w:p>
          <w:p w:rsidR="00D059FB" w:rsidRDefault="00D059FB" w:rsidP="00D059FB">
            <w:pPr>
              <w:pStyle w:val="Zkladntext"/>
              <w:numPr>
                <w:ilvl w:val="0"/>
                <w:numId w:val="3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U níže vypsaných položek za spotřebu elektřiny PRE je třeba průkazně doložit, za jaké období se týká. Jde o tyto položky: </w:t>
            </w:r>
          </w:p>
          <w:p w:rsidR="00D059FB" w:rsidRDefault="00D059FB" w:rsidP="00D059FB">
            <w:pPr>
              <w:pStyle w:val="Zkladntext"/>
              <w:spacing w:before="120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spotřeba elektřiny </w:t>
            </w:r>
            <w:proofErr w:type="spellStart"/>
            <w:proofErr w:type="gramStart"/>
            <w:r>
              <w:rPr>
                <w:szCs w:val="24"/>
              </w:rPr>
              <w:t>v.s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10120503, částka 14.060,- Kč</w:t>
            </w:r>
          </w:p>
          <w:p w:rsidR="00D059FB" w:rsidRDefault="00D059FB" w:rsidP="00D059FB">
            <w:pPr>
              <w:pStyle w:val="Zkladntext"/>
              <w:spacing w:before="120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spotřeba elektřiny </w:t>
            </w:r>
            <w:proofErr w:type="spellStart"/>
            <w:proofErr w:type="gramStart"/>
            <w:r>
              <w:rPr>
                <w:szCs w:val="24"/>
              </w:rPr>
              <w:t>v.s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10120503, částka 20.090,- Kč</w:t>
            </w:r>
          </w:p>
          <w:p w:rsidR="00D059FB" w:rsidRDefault="00D059FB" w:rsidP="00D059FB">
            <w:pPr>
              <w:pStyle w:val="Zkladntext"/>
              <w:spacing w:before="120"/>
              <w:ind w:left="720"/>
              <w:rPr>
                <w:szCs w:val="24"/>
              </w:rPr>
            </w:pPr>
          </w:p>
          <w:p w:rsidR="00D059FB" w:rsidRDefault="00D059FB" w:rsidP="00D059FB">
            <w:pPr>
              <w:pStyle w:val="Zkladntext"/>
              <w:spacing w:before="120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spotřeba elektřiny </w:t>
            </w:r>
            <w:proofErr w:type="spellStart"/>
            <w:proofErr w:type="gramStart"/>
            <w:r>
              <w:rPr>
                <w:szCs w:val="24"/>
              </w:rPr>
              <w:t>v.s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10120504, částka 1.895,- Kč </w:t>
            </w:r>
          </w:p>
          <w:p w:rsidR="00D059FB" w:rsidRDefault="00D059FB" w:rsidP="00D059FB">
            <w:pPr>
              <w:pStyle w:val="Zkladntext"/>
              <w:spacing w:before="120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spotřeba </w:t>
            </w:r>
            <w:proofErr w:type="spellStart"/>
            <w:r>
              <w:rPr>
                <w:szCs w:val="24"/>
              </w:rPr>
              <w:t>elekřiny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v.s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10120504, částka 4.010,- Kč</w:t>
            </w:r>
          </w:p>
          <w:p w:rsidR="00D059FB" w:rsidRDefault="00D059FB" w:rsidP="00D059FB">
            <w:pPr>
              <w:pStyle w:val="Zkladntext"/>
              <w:spacing w:before="120"/>
              <w:ind w:left="720"/>
              <w:rPr>
                <w:szCs w:val="24"/>
              </w:rPr>
            </w:pPr>
          </w:p>
          <w:p w:rsidR="00D059FB" w:rsidRDefault="00D059FB" w:rsidP="00D059FB">
            <w:pPr>
              <w:pStyle w:val="Zkladntext"/>
              <w:spacing w:before="120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spotřeba elektřiny </w:t>
            </w:r>
            <w:proofErr w:type="spellStart"/>
            <w:proofErr w:type="gramStart"/>
            <w:r>
              <w:rPr>
                <w:szCs w:val="24"/>
              </w:rPr>
              <w:t>v.s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10120502, částka 7.552,- Kč</w:t>
            </w:r>
          </w:p>
          <w:p w:rsidR="00D059FB" w:rsidRDefault="00D059FB" w:rsidP="00D059FB">
            <w:pPr>
              <w:pStyle w:val="Zkladntext"/>
              <w:spacing w:before="120"/>
              <w:ind w:left="720"/>
              <w:rPr>
                <w:szCs w:val="24"/>
              </w:rPr>
            </w:pPr>
            <w:r>
              <w:rPr>
                <w:szCs w:val="24"/>
              </w:rPr>
              <w:t xml:space="preserve">spotřeba elektřiny </w:t>
            </w:r>
            <w:proofErr w:type="spellStart"/>
            <w:proofErr w:type="gramStart"/>
            <w:r>
              <w:rPr>
                <w:szCs w:val="24"/>
              </w:rPr>
              <w:t>v.s</w:t>
            </w:r>
            <w:proofErr w:type="spellEnd"/>
            <w:r>
              <w:rPr>
                <w:szCs w:val="24"/>
              </w:rPr>
              <w:t>.</w:t>
            </w:r>
            <w:proofErr w:type="gramEnd"/>
            <w:r>
              <w:rPr>
                <w:szCs w:val="24"/>
              </w:rPr>
              <w:t xml:space="preserve"> 10120502, částka 11.400,- Kč.</w:t>
            </w:r>
          </w:p>
          <w:p w:rsidR="00D059FB" w:rsidRDefault="00D059FB" w:rsidP="00D059FB">
            <w:pPr>
              <w:pStyle w:val="Zkladntext"/>
              <w:spacing w:before="120"/>
              <w:ind w:left="720"/>
              <w:rPr>
                <w:szCs w:val="24"/>
              </w:rPr>
            </w:pPr>
          </w:p>
          <w:p w:rsidR="009B7ED9" w:rsidRDefault="009B7ED9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1C2D" w:rsidTr="00971C2D">
        <w:tc>
          <w:tcPr>
            <w:tcW w:w="9212" w:type="dxa"/>
          </w:tcPr>
          <w:p w:rsidR="00971C2D" w:rsidRPr="00971C2D" w:rsidRDefault="00971C2D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2D">
              <w:rPr>
                <w:rFonts w:ascii="Times New Roman" w:hAnsi="Times New Roman" w:cs="Times New Roman"/>
                <w:b/>
                <w:sz w:val="24"/>
                <w:szCs w:val="24"/>
              </w:rPr>
              <w:t>Závěr</w:t>
            </w: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5D21F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Dodržení účelu a uznatelnost výdajů</w:t>
            </w:r>
          </w:p>
          <w:p w:rsidR="005E09B2" w:rsidRPr="00F41B4C" w:rsidRDefault="005E09B2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D21FC" w:rsidRDefault="005D21FC" w:rsidP="0013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Příjemce předložil a do vyúčtování zahrnul jednak náklady na provoz vlastního sportoviště (plyn, elektřina), vč. materiálových nákladů (nákup/oprava sprchy v koupelně v TJ Sokol), tak také náklady související s pronájmem sportovišť cizích (soustředění gymnastek,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pronájem bazénu – HP nemají bazén, nutné pro skupinu triatlonistů). Dále náklady na údržbu, revizi sportovního inventáře. </w:t>
            </w:r>
            <w:r w:rsidR="00F41B4C">
              <w:rPr>
                <w:rFonts w:ascii="Times New Roman" w:hAnsi="Times New Roman" w:cs="Times New Roman"/>
                <w:sz w:val="24"/>
                <w:szCs w:val="24"/>
              </w:rPr>
              <w:t xml:space="preserve">Veškeré náklady, které </w:t>
            </w:r>
            <w:proofErr w:type="gramStart"/>
            <w:r w:rsidR="00F41B4C">
              <w:rPr>
                <w:rFonts w:ascii="Times New Roman" w:hAnsi="Times New Roman" w:cs="Times New Roman"/>
                <w:sz w:val="24"/>
                <w:szCs w:val="24"/>
              </w:rPr>
              <w:t>byly</w:t>
            </w:r>
            <w:proofErr w:type="gramEnd"/>
            <w:r w:rsidR="00F41B4C">
              <w:rPr>
                <w:rFonts w:ascii="Times New Roman" w:hAnsi="Times New Roman" w:cs="Times New Roman"/>
                <w:sz w:val="24"/>
                <w:szCs w:val="24"/>
              </w:rPr>
              <w:t xml:space="preserve"> do vyúčtování zahrnuty </w:t>
            </w:r>
            <w:proofErr w:type="gramStart"/>
            <w:r w:rsidR="00F41B4C">
              <w:rPr>
                <w:rFonts w:ascii="Times New Roman" w:hAnsi="Times New Roman" w:cs="Times New Roman"/>
                <w:sz w:val="24"/>
                <w:szCs w:val="24"/>
              </w:rPr>
              <w:t>jsou</w:t>
            </w:r>
            <w:proofErr w:type="gramEnd"/>
            <w:r w:rsidR="00F41B4C">
              <w:rPr>
                <w:rFonts w:ascii="Times New Roman" w:hAnsi="Times New Roman" w:cs="Times New Roman"/>
                <w:sz w:val="24"/>
                <w:szCs w:val="24"/>
              </w:rPr>
              <w:t xml:space="preserve"> v souladu s uzavřenou veřejnoprávní smlouvou. Nicméně dle OE je nutné vždy doložit v případě pronájmu cizích sportovišť, bazénu apod. přehled dětí/sportovců, kteří cizí sportoviště využívali a to jmenným seznamem dětí, důvodem užívání cizího sportoviště (soustředění, MČ Praha 20 nemá vlastní bazén apod.), datem uskutečnění aktivit apod. Lze uvádět přímo na fakturách/pokladních dokladech nebo vytvořit jmenný seznam dětí, kdy, kde se aktivity zúčastnily.</w:t>
            </w:r>
          </w:p>
          <w:p w:rsidR="00F41B4C" w:rsidRDefault="00F41B4C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F41B4C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1B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Nedostatky v účetních dokladech</w:t>
            </w:r>
          </w:p>
          <w:p w:rsidR="005E09B2" w:rsidRPr="00F41B4C" w:rsidRDefault="005E09B2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71C2D" w:rsidRDefault="00F41B4C" w:rsidP="0013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návaznosti na výše uvedené je třeba důsledně požadovat např. rozpisy k fakturám/daňovým dokladům, tj. nestačí jen obecný popis „pronájem sportoviště“ ale je nutný rozpis, kolik dětí, kdy se zúčastnil</w:t>
            </w:r>
            <w:r w:rsidR="00A3019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603217">
              <w:rPr>
                <w:rFonts w:ascii="Times New Roman" w:hAnsi="Times New Roman" w:cs="Times New Roman"/>
                <w:sz w:val="24"/>
                <w:szCs w:val="24"/>
              </w:rPr>
              <w:t>, případně jinak dokládat a rozepisovat na daňových dokladech fakturovanou aktivitu.</w:t>
            </w:r>
            <w:r w:rsidR="002F4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34E">
              <w:rPr>
                <w:rFonts w:ascii="Times New Roman" w:hAnsi="Times New Roman" w:cs="Times New Roman"/>
                <w:sz w:val="24"/>
                <w:szCs w:val="24"/>
              </w:rPr>
              <w:t xml:space="preserve">Toto je nutné příjemci dotace vždy zmínit (zahrnout do smlouvy) ještě před uzavřením smluvního vztahu. </w:t>
            </w:r>
            <w:r w:rsidR="002F4E93">
              <w:rPr>
                <w:rFonts w:ascii="Times New Roman" w:hAnsi="Times New Roman" w:cs="Times New Roman"/>
                <w:sz w:val="24"/>
                <w:szCs w:val="24"/>
              </w:rPr>
              <w:t>Vzhledem k tomu, že příjemce dotace nebyl o tomto při podpisu smlouvy informován, zpětně doložil</w:t>
            </w:r>
            <w:r w:rsidR="0021734E">
              <w:rPr>
                <w:rFonts w:ascii="Times New Roman" w:hAnsi="Times New Roman" w:cs="Times New Roman"/>
                <w:sz w:val="24"/>
                <w:szCs w:val="24"/>
              </w:rPr>
              <w:t xml:space="preserve"> pouze</w:t>
            </w:r>
            <w:r w:rsidR="002F4E93">
              <w:rPr>
                <w:rFonts w:ascii="Times New Roman" w:hAnsi="Times New Roman" w:cs="Times New Roman"/>
                <w:sz w:val="24"/>
                <w:szCs w:val="24"/>
              </w:rPr>
              <w:t xml:space="preserve"> rozpis za využívání bazénu ve svém vyjádření, které je součástí této zprávy.</w:t>
            </w:r>
            <w:r w:rsidR="0021734E">
              <w:rPr>
                <w:rFonts w:ascii="Times New Roman" w:hAnsi="Times New Roman" w:cs="Times New Roman"/>
                <w:sz w:val="24"/>
                <w:szCs w:val="24"/>
              </w:rPr>
              <w:t xml:space="preserve"> Nicméně ostatní lze považovat alespoň za částečně splněné (na fakturách jsou uvedeny informace, že se jedná o např. soustředění gymnastek apod.)</w:t>
            </w:r>
          </w:p>
          <w:p w:rsidR="005D29F8" w:rsidRDefault="005D29F8" w:rsidP="0013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041" w:rsidRDefault="00A3019B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Náklady, ke kterým chyběly daň. </w:t>
            </w:r>
            <w:proofErr w:type="gramStart"/>
            <w:r w:rsidR="002F4E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oklady</w:t>
            </w:r>
            <w:proofErr w:type="gramEnd"/>
            <w:r w:rsidR="005D29F8">
              <w:rPr>
                <w:rFonts w:ascii="Times New Roman" w:hAnsi="Times New Roman" w:cs="Times New Roman"/>
                <w:sz w:val="24"/>
                <w:szCs w:val="24"/>
              </w:rPr>
              <w:t xml:space="preserve"> (vyúčtování od PRE)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nebyly dle příjemce hrazeny z peněžních prostředků MČ Praha 20 a nejsou tudíž předmětem kontroly (viz vyjádření Bc. Ivana Lišky ze dne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31.3.2016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D29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9F8" w:rsidRDefault="005D29F8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F8" w:rsidRDefault="005D29F8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Náklad od PVK </w:t>
            </w:r>
            <w:r w:rsidRPr="006C12B5">
              <w:rPr>
                <w:rFonts w:ascii="Times New Roman" w:hAnsi="Times New Roman" w:cs="Times New Roman"/>
                <w:sz w:val="24"/>
                <w:szCs w:val="24"/>
              </w:rPr>
              <w:t>ve výši 8.417</w:t>
            </w:r>
            <w:r w:rsidR="006C12B5">
              <w:rPr>
                <w:rFonts w:ascii="Times New Roman" w:hAnsi="Times New Roman" w:cs="Times New Roman"/>
                <w:sz w:val="24"/>
                <w:szCs w:val="24"/>
              </w:rPr>
              <w:t xml:space="preserve">,- Kč vztahující se k období 2014 není také předmětem </w:t>
            </w:r>
            <w:proofErr w:type="gramStart"/>
            <w:r w:rsidR="006C12B5">
              <w:rPr>
                <w:rFonts w:ascii="Times New Roman" w:hAnsi="Times New Roman" w:cs="Times New Roman"/>
                <w:sz w:val="24"/>
                <w:szCs w:val="24"/>
              </w:rPr>
              <w:t>kontroly neboť</w:t>
            </w:r>
            <w:proofErr w:type="gramEnd"/>
            <w:r w:rsidR="006C12B5">
              <w:rPr>
                <w:rFonts w:ascii="Times New Roman" w:hAnsi="Times New Roman" w:cs="Times New Roman"/>
                <w:sz w:val="24"/>
                <w:szCs w:val="24"/>
              </w:rPr>
              <w:t xml:space="preserve"> nebyl dle vyjádření a doplněného formuláře (konkrétně části VIII. Účelové použití dotace a částek hrazených z rozpočtu MČ Prahy 20) hrazen z rozpočtu MČ Prahy 20.</w:t>
            </w:r>
          </w:p>
          <w:p w:rsidR="00FD49A6" w:rsidRDefault="00FD49A6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Toto se týká i nákladů od PRE (viz bod č. 6 výše).</w:t>
            </w:r>
          </w:p>
          <w:p w:rsidR="00FD49A6" w:rsidRDefault="00FD49A6" w:rsidP="00FD49A6">
            <w:pPr>
              <w:pStyle w:val="Zkladntext"/>
              <w:spacing w:before="120"/>
              <w:rPr>
                <w:szCs w:val="24"/>
              </w:rPr>
            </w:pPr>
            <w:r w:rsidRPr="00FD49A6">
              <w:rPr>
                <w:rFonts w:eastAsiaTheme="minorHAnsi"/>
                <w:color w:val="auto"/>
                <w:szCs w:val="24"/>
                <w:lang w:eastAsia="en-US"/>
              </w:rPr>
              <w:t>K položce č. 8388290002 ve výši 91.700,- Kč splatná 20.7.2015</w:t>
            </w:r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od </w:t>
            </w:r>
            <w:proofErr w:type="gramStart"/>
            <w:r>
              <w:rPr>
                <w:rFonts w:eastAsiaTheme="minorHAnsi"/>
                <w:color w:val="auto"/>
                <w:szCs w:val="24"/>
                <w:lang w:eastAsia="en-US"/>
              </w:rPr>
              <w:t>Pražská</w:t>
            </w:r>
            <w:proofErr w:type="gramEnd"/>
            <w:r>
              <w:rPr>
                <w:rFonts w:eastAsiaTheme="minorHAnsi"/>
                <w:color w:val="auto"/>
                <w:szCs w:val="24"/>
                <w:lang w:eastAsia="en-US"/>
              </w:rPr>
              <w:t xml:space="preserve"> plynárenská, a.s. byl dodán zpětně</w:t>
            </w:r>
            <w:r w:rsidRPr="00FD49A6">
              <w:rPr>
                <w:rFonts w:eastAsiaTheme="minorHAnsi"/>
                <w:color w:val="auto"/>
                <w:szCs w:val="24"/>
                <w:lang w:eastAsia="en-US"/>
              </w:rPr>
              <w:t xml:space="preserve"> výpis z účtu prokazující odtok finančních prostředků</w:t>
            </w:r>
            <w:r>
              <w:rPr>
                <w:szCs w:val="24"/>
              </w:rPr>
              <w:t xml:space="preserve">. </w:t>
            </w:r>
          </w:p>
          <w:p w:rsidR="00FD49A6" w:rsidRDefault="00FD49A6" w:rsidP="005D2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DC6" w:rsidRDefault="002D3DC6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Ostatní</w:t>
            </w:r>
          </w:p>
          <w:p w:rsidR="005E09B2" w:rsidRPr="00E21041" w:rsidRDefault="005E09B2" w:rsidP="00C42F6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D3DC6" w:rsidRPr="00F41B4C" w:rsidRDefault="002D3DC6" w:rsidP="001339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Žadatel o dotaci zpětně doplnil bod č. 1 Výsledek kontroly, tj. rozepsal náklady hrazené z peněžních prostředků MČ Prahy 20</w:t>
            </w:r>
            <w:r w:rsidR="00E21041">
              <w:rPr>
                <w:rFonts w:ascii="Times New Roman" w:hAnsi="Times New Roman" w:cs="Times New Roman"/>
                <w:sz w:val="24"/>
                <w:szCs w:val="24"/>
              </w:rPr>
              <w:t xml:space="preserve"> a náklady hrazené z jiných zdrojů.</w:t>
            </w: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C2D" w:rsidRDefault="00971C2D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3019B" w:rsidTr="00A3019B">
        <w:tc>
          <w:tcPr>
            <w:tcW w:w="9212" w:type="dxa"/>
          </w:tcPr>
          <w:p w:rsidR="00A3019B" w:rsidRPr="00A3019B" w:rsidRDefault="00A3019B" w:rsidP="00C4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19B">
              <w:rPr>
                <w:rFonts w:ascii="Times New Roman" w:hAnsi="Times New Roman" w:cs="Times New Roman"/>
                <w:b/>
                <w:sz w:val="24"/>
                <w:szCs w:val="24"/>
              </w:rPr>
              <w:t>Přílohy</w:t>
            </w: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Vyjádření Bc. Ivana Lišky ze dne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31.3.2016</w:t>
            </w:r>
            <w:proofErr w:type="gramEnd"/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19B" w:rsidRDefault="00A3019B" w:rsidP="00C42F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028" w:rsidRDefault="00264028" w:rsidP="00C42F6E">
      <w:pPr>
        <w:rPr>
          <w:rFonts w:ascii="Times New Roman" w:hAnsi="Times New Roman" w:cs="Times New Roman"/>
          <w:sz w:val="24"/>
          <w:szCs w:val="24"/>
        </w:rPr>
      </w:pPr>
    </w:p>
    <w:sectPr w:rsidR="00264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EB9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05D34"/>
    <w:multiLevelType w:val="hybridMultilevel"/>
    <w:tmpl w:val="D24A0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32858"/>
    <w:multiLevelType w:val="hybridMultilevel"/>
    <w:tmpl w:val="9684B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D0A55"/>
    <w:multiLevelType w:val="hybridMultilevel"/>
    <w:tmpl w:val="DCAC695E"/>
    <w:lvl w:ilvl="0" w:tplc="1B30830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C2"/>
    <w:rsid w:val="00057C7C"/>
    <w:rsid w:val="000A3DD9"/>
    <w:rsid w:val="00133970"/>
    <w:rsid w:val="00183C3A"/>
    <w:rsid w:val="0021734E"/>
    <w:rsid w:val="00264028"/>
    <w:rsid w:val="002C69D9"/>
    <w:rsid w:val="002D3DC6"/>
    <w:rsid w:val="002F4E93"/>
    <w:rsid w:val="003D41C2"/>
    <w:rsid w:val="004063C8"/>
    <w:rsid w:val="005D21FC"/>
    <w:rsid w:val="005D29F8"/>
    <w:rsid w:val="005E09B2"/>
    <w:rsid w:val="0060157E"/>
    <w:rsid w:val="00603217"/>
    <w:rsid w:val="00622B92"/>
    <w:rsid w:val="00634AE7"/>
    <w:rsid w:val="006442BC"/>
    <w:rsid w:val="006C12B5"/>
    <w:rsid w:val="00734FAE"/>
    <w:rsid w:val="007837CD"/>
    <w:rsid w:val="00790F5F"/>
    <w:rsid w:val="008461F3"/>
    <w:rsid w:val="008A56CD"/>
    <w:rsid w:val="008B3B68"/>
    <w:rsid w:val="008E6DED"/>
    <w:rsid w:val="008F336C"/>
    <w:rsid w:val="00926D87"/>
    <w:rsid w:val="00971C2D"/>
    <w:rsid w:val="009B7ED9"/>
    <w:rsid w:val="009E0CA4"/>
    <w:rsid w:val="00A3019B"/>
    <w:rsid w:val="00AE74DF"/>
    <w:rsid w:val="00AF6CC9"/>
    <w:rsid w:val="00B12E9E"/>
    <w:rsid w:val="00B5161A"/>
    <w:rsid w:val="00BA7C56"/>
    <w:rsid w:val="00BB4E82"/>
    <w:rsid w:val="00C42F6E"/>
    <w:rsid w:val="00CA1AEA"/>
    <w:rsid w:val="00D059FB"/>
    <w:rsid w:val="00D17D52"/>
    <w:rsid w:val="00D96B07"/>
    <w:rsid w:val="00DE31E4"/>
    <w:rsid w:val="00E21041"/>
    <w:rsid w:val="00F27168"/>
    <w:rsid w:val="00F41B4C"/>
    <w:rsid w:val="00FD49A6"/>
    <w:rsid w:val="00F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4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7C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9D9"/>
    <w:pPr>
      <w:ind w:left="720"/>
      <w:contextualSpacing/>
    </w:pPr>
  </w:style>
  <w:style w:type="paragraph" w:styleId="Zkladntext">
    <w:name w:val="Body Text"/>
    <w:basedOn w:val="Normln"/>
    <w:link w:val="ZkladntextChar"/>
    <w:rsid w:val="00D059F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059FB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Horáková Petra</dc:creator>
  <cp:lastModifiedBy>Brzkovská Monika</cp:lastModifiedBy>
  <cp:revision>2</cp:revision>
  <cp:lastPrinted>2016-04-04T13:08:00Z</cp:lastPrinted>
  <dcterms:created xsi:type="dcterms:W3CDTF">2016-04-08T12:23:00Z</dcterms:created>
  <dcterms:modified xsi:type="dcterms:W3CDTF">2016-04-08T12:23:00Z</dcterms:modified>
</cp:coreProperties>
</file>