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Informace ZMČ - rozpočtové změny MČ Praha 20 na rok 2015 schválené RMČ na základně zmocnění ZMČ č. usnesení 11/2.1/16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usnesení ZMČ č. 11/2.1/16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projednáno v RMČ Praha 20 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období 12. 4. 2016 - 24. 5.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RMČ na základě svého zmocnění schválila rozpočtové opatření v období od 1.3.2016 - 29.3.2016, které předkládá ZMČ pro informaci. Jedná se o tyto č. rozpočtových opatření č. 15 - 44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Věc: Návrh RMČ  </w:t>
      </w:r>
      <w:r>
        <w:rPr>
          <w:rFonts w:ascii="Arial" w:hAnsi="Arial" w:cs="Arial"/>
          <w:color w:val="000000"/>
          <w:sz w:val="24"/>
          <w:szCs w:val="24"/>
        </w:rPr>
        <w:t>- rozpočtové opatření schvalované RMČ na rok 2016 č. 15 -  vratka poskytnuté účelové neinvestiční dotace ze SR z ÚP ČR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usnesení RMČ hl. m. Prahy  č. 716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12.4.2016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24"/>
          <w:szCs w:val="24"/>
        </w:rPr>
        <w:t>Rada hl. m. Prahy schválila svým usnesením č. 716 ze dne 29. 3. 2016 vratku poskytnuté účelové neinvestiční dotace městské části Praha 20 ve výši 29.880 Kč ze SR z Úřadu práce ČR, tyto finanční prostředky byly již MČ Praha 20 vráceny na účet MHMP v měsíci dubnu. Tato dotace neměla být MČ Praha 20 poskytnuta, patřila jiné MČ. Celková výše rozpočtového opatření 29.800 Kč.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Finanční prostředky budou označeny ÚZ 33113234 a ÚZ 33513234. O tyto finanční prostředky budou v běžných výdajích sníženy mzdové prostředky MH.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591300" cy="819150"/>
            <wp:effectExtent l="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857375" cy="495300"/>
            <wp:effectExtent l="0" t="0" r="9525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Výše financování se nemění.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Usnesení č. 53/7.1/16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schvaluje</w:t>
      </w:r>
      <w:r>
        <w:rPr>
          <w:rFonts w:ascii="Arial" w:hAnsi="Arial" w:cs="Arial"/>
          <w:color w:val="000000"/>
          <w:sz w:val="24"/>
          <w:szCs w:val="24"/>
        </w:rPr>
        <w:t xml:space="preserve"> rozpočtové opatření schvalované RMČ na rok 2016 č. 15  -  vratka poskytnuté účelové neinvestiční dotace ze SR z ÚP ČR ve výši  29.800 Kč na základě svého zmocnění usnesení ZMČ č.11/2.1/16 ze dne 29. 2.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Věc: Návrh RMČ  </w:t>
      </w:r>
      <w:r>
        <w:rPr>
          <w:rFonts w:ascii="Arial" w:hAnsi="Arial" w:cs="Arial"/>
          <w:color w:val="000000"/>
          <w:sz w:val="24"/>
          <w:szCs w:val="24"/>
        </w:rPr>
        <w:t>- rozpočtové opatření schvalované RMČ na rok 2016 č. 16 - poskytnutí účelové neinvestiční dotace ze SR z ÚP ČR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usnesení RHMP č. 643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12. 4. 2016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Rada hl. m. Prahy schválila svým usnesením č. 643 ze dne 22. 3. 2016 poskytnutí účelové neinvestiční dotace městské části Praha 20 ve výši 72.256 Kč  ze SR z Úřadu práce ČR.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Finanční prostředky byly poskytnuty na základě Dohody o vytvoření pracovních příležitostí v rámci veřejně prospěšných prací a poskytnutí příspěvku, spolufinancovaného ze SR a Evropského soc. fondu č. ABA – VN-2/2015  dod. č. 1 ABA- VZ-7/2015 (VS 50000715). Rozpočtové opatření ve výši 72.200 Kč.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Finanční prostředky budou označeny UZ 33113013 – SR, UZ 33513013EU, rozpočtové opatření provedeno pod č. dokladu 2010 ve výši 72.200 Kč. Finanční prostředky budou do běžných výdajů přiděleny MH na úhradu mzdových prostředků pracovníků.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591300" cy="495300"/>
            <wp:effectExtent l="0" t="0" r="0" b="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857375" cy="495300"/>
            <wp:effectExtent l="0" t="0" r="9525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Financování se nemění a činí celkově  88.698.300 Kč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Usnesení č. 53/7.2/16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schvaluje</w:t>
      </w:r>
      <w:r>
        <w:rPr>
          <w:rFonts w:ascii="Arial" w:hAnsi="Arial" w:cs="Arial"/>
          <w:color w:val="000000"/>
          <w:sz w:val="24"/>
          <w:szCs w:val="24"/>
        </w:rPr>
        <w:t xml:space="preserve"> rozpočtové opatření schvalované RMČ na rok 2016 č. 16 - poskytnutí účelové neinvestiční dotace ze SR z ÚP ČR ve výši 72.200 Kč na základě svého zmocnění usnesení ZMČ č.11/2.1/16 ze dne 29. 2.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Věc: Návrh RMČ  </w:t>
      </w:r>
      <w:r>
        <w:rPr>
          <w:rFonts w:ascii="Arial" w:hAnsi="Arial" w:cs="Arial"/>
          <w:color w:val="000000"/>
          <w:sz w:val="24"/>
          <w:szCs w:val="24"/>
        </w:rPr>
        <w:t>- rozpočtové opatření schvalované RMČ na rok 2016 č. 17 - dar MČ Praha 9 na přehlídku 20. ročníku nesoutěžní přehlídky MČ s názvem "Předškoláček 2016"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usnesení RMČ č. 49/2.11/16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12. 4. 2016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  <w:t>Na základě usnesení RMČ č. 49/2.11/16 poskytnout příspěvek MČ Praha 9, odboru školství a evropských fondů, Sokolovská 14/324,Praha 9, pořadatele 20. ročníku nesoutěžní přehlídky mateřských škol s názvem "Předškoláček 2016" ve výši 3.000 Kč jsou uvolněny rozpočtovým opatřením finanční prostředky z rezervy vytvořené na tuto akci a zaslány MČ Praha 9. Rozpočtové opatření je ve výši poskytnutého příspěvku 3.000 Kč.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857375" cy="495300"/>
            <wp:effectExtent l="0" t="0" r="9525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Financování se nemění a zůstává ve stejné výši.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Usnesení č. 53/7.3/16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schvaluje</w:t>
      </w:r>
      <w:r>
        <w:rPr>
          <w:rFonts w:ascii="Arial" w:hAnsi="Arial" w:cs="Arial"/>
          <w:color w:val="000000"/>
          <w:sz w:val="24"/>
          <w:szCs w:val="24"/>
        </w:rPr>
        <w:t xml:space="preserve"> rozpočtové opatření schvalované RMČ na rok 2016 č. 17 - dar MČ Praha 9 na přehlídku 20. ročníku nesoutěžní přehlídky MČ s názvem "Předškoláček 2016" ve výši 3.000 Kč na základě svého zmocnění usnesení ZMČ č.11/2.1/16 ze dne 29. 2.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Věc: Návrh RMČ  </w:t>
      </w:r>
      <w:r>
        <w:rPr>
          <w:rFonts w:ascii="Arial" w:hAnsi="Arial" w:cs="Arial"/>
          <w:color w:val="000000"/>
          <w:sz w:val="24"/>
          <w:szCs w:val="24"/>
        </w:rPr>
        <w:t>- rozpočtové opatření schvalované RMČ na rok 2016 č. 18 - zpracování  žádosti v rámci výzvy OP VVV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usnesení RMČ ze dne 31. 3.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12. 4. 2016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24"/>
          <w:szCs w:val="24"/>
        </w:rPr>
        <w:t>Na základě schválení usnesení RMČ ze dne 31. 3. 2016 byl vybrán spolek Via Laureola z.s., který vypracuje žádost v rámci výzvy OP VVV, která musí dle podmínek MŠMT být zpracována nezávislou organizací. Na zpracování projektu a financování nákladů jsou vyčleněny finanční prostředky z rozpočtu MŠMT. Spolek vypracuje prvotní projektový záměr a vypracuje projektovou žádost - klíčové aktivity, realizační tým, harmonogram klíčových aktivit, nastavení indikátorů, zdůvodnění potřebnosti, analýza rizik, inovativnost, příčiny problémů, nastavení rozpočtu atd., vložení žádosti včetně povinných příloh do systému ISKP 2014+</w:t>
      </w:r>
      <w:r>
        <w:rPr>
          <w:rFonts w:ascii="Arial" w:hAnsi="Arial" w:cs="Arial"/>
          <w:color w:val="2F2F2F"/>
          <w:sz w:val="24"/>
          <w:szCs w:val="24"/>
        </w:rPr>
        <w:t xml:space="preserve">, finalizace žádosti, elektronický podpis, dohled nad odevzdáním v termínu , správa žádosti dle pokynů vyhlašovatele do schválení, resp. vydání Rozhodnutí o poskytnutí dotace. Do výše uvedených kroků je započítána i intenzivní komunikace a konzultace s Řídicím orgánem Operačního program Výzkum, vývoj a vzdělávání, resp. Ministerstvem školství, mládeže a tělovýchovy. Celkový předpokládaný rozsah práce na uvedeném předmětu nabídky je 63 hodin. Rozpočtové opatření je provedeno ve výši fixní ceny za zpracování předmětu nabídky 34.650 Kč + DPH. Rozpočtové opatření provedeno ve výši 42.000 Kč.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Procentní podíl, jehož vyplacení je vázáno na výši schválené dotace, zatím není rozpočtován. Rozpočtové opatření bude RMČ předloženo v případě úspěšnosti žádosti a přidělení finančních prostředků MČ Praha 20.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noProof/>
          <w:color w:val="2F2F2F"/>
          <w:sz w:val="24"/>
          <w:szCs w:val="24"/>
          <w:lang w:eastAsia="cs-CZ"/>
        </w:rPr>
        <w:lastRenderedPageBreak/>
        <w:drawing>
          <wp:inline distT="0" distB="0" distL="0" distR="0">
            <wp:extent cx="6591300" cy="495300"/>
            <wp:effectExtent l="0" t="0" r="0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noProof/>
          <w:color w:val="2F2F2F"/>
          <w:sz w:val="24"/>
          <w:szCs w:val="24"/>
          <w:lang w:eastAsia="cs-CZ"/>
        </w:rPr>
        <w:drawing>
          <wp:inline distT="0" distB="0" distL="0" distR="0">
            <wp:extent cx="1857375" cy="495300"/>
            <wp:effectExtent l="0" t="0" r="9525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Financování se nemění a zůstává ve stejné výši.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Usnesení č. 53/7.4/16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schvaluje</w:t>
      </w:r>
      <w:r>
        <w:rPr>
          <w:rFonts w:ascii="Arial" w:hAnsi="Arial" w:cs="Arial"/>
          <w:color w:val="000000"/>
          <w:sz w:val="24"/>
          <w:szCs w:val="24"/>
        </w:rPr>
        <w:t xml:space="preserve"> rozpočtové opatření schvalované RMČ na rok 2016 č. 18 -  zpracování  žádosti v rámci výzvy OP VVV ve výši 42.000 Kč na základě svého zmocnění usnesení ZMČ č.11/2.1/16 ze dne 29. 2.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Věc: Návrh RMČ  </w:t>
      </w:r>
      <w:r>
        <w:rPr>
          <w:rFonts w:ascii="Arial" w:hAnsi="Arial" w:cs="Arial"/>
          <w:color w:val="000000"/>
          <w:sz w:val="24"/>
          <w:szCs w:val="24"/>
        </w:rPr>
        <w:t>- rozpočtové opatření MČ Praha 20  č. 19 na rok 2016 - navýšení běžných výdajů SD do příjmu dotace, dar M. Turnovi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usnesení RMČ č. 51/2.5/16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26. 4. 2016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Z důvodu nutnosti hradit výdaje na provoz SD do přidělení finančních prostředků z MHMP (účelové dotace) je třeba navýšit běžné výdaje SD z vlastních finančních prostředků. Finanční prostředky budou navýšeny z vratky nevyčerpaných mezd za 12/2015 (vráceno do účetnictví 1/2016). Celková vratka nevyčerpaných mezd činila 991.700 Kč. Část 548.700 Kč bude použita na vratku finančních prostředků z grantu ICT (bude předloženo v jiném RO), část 443.000 Kč na úhradu běžných výdajů SD. Po obdržení dotace bude tato částka z výdajů SD rozpočtovým opatřením převedena do rezervy RADY.</w:t>
      </w:r>
    </w:p>
    <w:p w:rsidR="00C82620" w:rsidRDefault="00C82620" w:rsidP="00C82620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Na základě usnesení RMČ č. 51/2.5/16 jsou uvolněny finanční prostředky z rezervy RADY na úhradu daru pro p. Miloše Turnu na úhradu nákladů ve výši 5 tis. Kč na zhotovení poháru pro vítěze Memoriálu Martina Turny, který se koná v Hořicích při závodech 300 zatáček Gustava Havla.</w:t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noProof/>
          <w:color w:val="000000"/>
          <w:lang w:eastAsia="cs-CZ"/>
        </w:rPr>
        <w:drawing>
          <wp:inline distT="0" distB="0" distL="0" distR="0">
            <wp:extent cx="6591300" cy="1304925"/>
            <wp:effectExtent l="0" t="0" r="0" b="952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054"/>
        <w:gridCol w:w="2639"/>
        <w:gridCol w:w="1371"/>
      </w:tblGrid>
      <w:tr w:rsidR="00C82620">
        <w:trPr>
          <w:trHeight w:val="286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Příjmy MČ v Kč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Výdaje MČ v Kč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C82620">
        <w:trPr>
          <w:trHeight w:val="286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152 014 620,00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240 712 920,00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C82620">
        <w:trPr>
          <w:trHeight w:val="286"/>
        </w:trPr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Financování MČ v Kč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-88 698 300,00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se nemění</w:t>
            </w:r>
          </w:p>
        </w:tc>
      </w:tr>
    </w:tbl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Helv" w:hAnsi="Helv" w:cs="Helv"/>
          <w:color w:val="000000"/>
          <w:sz w:val="20"/>
          <w:szCs w:val="20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Usnesení č. 55/7.1/16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schvaluje</w:t>
      </w:r>
      <w:r>
        <w:rPr>
          <w:rFonts w:ascii="Arial" w:hAnsi="Arial" w:cs="Arial"/>
          <w:color w:val="000000"/>
          <w:sz w:val="24"/>
          <w:szCs w:val="24"/>
        </w:rPr>
        <w:t xml:space="preserve"> rozpočtové opatření schvalované RMČ na rok 2016 č. 19  - navýšení běžných výdajů SD do příjmu dotace ve výši 443 tis. Kč, dar M. Turnovi ve výši 5 tis. Kč na úhradu nákladů na zhotovení poháru pro vítěze Memoriálu Martina Turny na základě svého zmocnění usnesení ZMČ č.11/2.1/16 ze dne 29. 2.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Věc: Návrh RMČ  </w:t>
      </w:r>
      <w:r>
        <w:rPr>
          <w:rFonts w:ascii="Arial" w:hAnsi="Arial" w:cs="Arial"/>
          <w:color w:val="000000"/>
          <w:sz w:val="24"/>
          <w:szCs w:val="24"/>
        </w:rPr>
        <w:t xml:space="preserve">- rozpočtové opatření MČ Praha 20 na rok 2016 č. 20 - vratka finančních prostředků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usnesení RMČ č. 881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26. 4. 2016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základě obdrženého dopisu z MHMP je třeba provést rozpočtové opatření, kterým budou vráceny finanční prostředky z projektu OPPK v celkové výši  548.630,45 Kč, rozpočtové opatření ve výši 548.600 Kč, pod číslem dokladu 7018. </w:t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rámci rozpočtového opatření budou zároveň navýšeny příjmy, kterými budou přijaty finanční prostředky z vrácených nevyplacených mezd za 12/2015. Část finančních prostředků z těchto finančních prostředků byla již použita na dofinancování běžných výdajů na SD do přijetí dotace (RO č. 19).</w:t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souvislosti s tím jsou zvýšeny příjmy i výdaje o 548.600 Kč tzn. jejich výše činí po úpravě rozpočtu: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610100" cy="657225"/>
            <wp:effectExtent l="0" t="0" r="0" b="9525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591300" cy="1143000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2400300" cy="447675"/>
            <wp:effectExtent l="0" t="0" r="0" b="9525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133600" cy="447675"/>
            <wp:effectExtent l="0" t="0" r="0" b="9525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Finanční prostředky na účet MHMP mají být zaslány nejpozději 2. 5. 2016.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Usnesení č. 55/7.2/16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RMČ Praha 20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schvaluje</w:t>
      </w:r>
      <w:r>
        <w:rPr>
          <w:rFonts w:ascii="Arial" w:hAnsi="Arial" w:cs="Arial"/>
          <w:color w:val="000000"/>
          <w:sz w:val="24"/>
          <w:szCs w:val="24"/>
        </w:rPr>
        <w:t xml:space="preserve"> rozpočtové opatření schvalované RMČ na rok 2016 č. rozpočtové opatření MČ Praha 20 na rok 2016 č. 20 - vratka finančních prostředků  ve výši 548.600 Kč v souvislosti s ukončením projektu OPPK - rozvoj ICT služeb na MČ Praha 20 na základě svého zmocnění usnesení ZMČ č.11/2.1/16 ze dne 29. 2.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Věc: Návrh RMČ  </w:t>
      </w:r>
      <w:r>
        <w:rPr>
          <w:rFonts w:ascii="Arial" w:hAnsi="Arial" w:cs="Arial"/>
          <w:color w:val="000000"/>
          <w:sz w:val="24"/>
          <w:szCs w:val="24"/>
        </w:rPr>
        <w:t>- rozpočtové opatření MČ Praha 20 na rok 2016 č. 21 - účelová neinvestiční dotace integrace žáků období 1.1.2016-31.8.2016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usnesení ZHMČ č. 15/14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26. 4. 2016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základě usnesení  ZMČ č. 15/14 ze dne 31. 3. 2016 byla MČ Praha 20 přidělena účelová neinvestiční dotace na integraci žáků pro ZŠ a MŠ zřizované MČ Praha 20. Celková výše dotace a rozpočtového opatření 727.300 Kč. </w:t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Rozpis dotace pro jednotlivé příspěvkové organizace je v příloze č. 2.</w:t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Rozpočtové opatření bude provedeno pod č. dokladu 3019 a příjmy i výdaje označeny UZ 91.</w:t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Nevyužité finanční prostředky podléhají vyúčtování v rámci FV za rok 2016. </w:t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238375" cy="447675"/>
            <wp:effectExtent l="0" t="0" r="9525" b="9525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828925" cy="447675"/>
            <wp:effectExtent l="0" t="0" r="9525" b="9525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Příjmy i výdaje po rozpočtovém opatření jsou ve výši: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470"/>
        <w:gridCol w:w="3080"/>
        <w:gridCol w:w="1820"/>
      </w:tblGrid>
      <w:tr w:rsidR="00C82620">
        <w:trPr>
          <w:trHeight w:val="255"/>
        </w:trPr>
        <w:tc>
          <w:tcPr>
            <w:tcW w:w="7470" w:type="dxa"/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2620">
        <w:trPr>
          <w:trHeight w:val="255"/>
        </w:trPr>
        <w:tc>
          <w:tcPr>
            <w:tcW w:w="7470" w:type="dxa"/>
            <w:shd w:val="clear" w:color="auto" w:fill="FFFFFF"/>
            <w:vAlign w:val="bottom"/>
          </w:tcPr>
          <w:p w:rsidR="00C82620" w:rsidRDefault="00C826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4610100" cy="657225"/>
                  <wp:effectExtent l="0" t="0" r="0" b="9525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2620">
        <w:trPr>
          <w:trHeight w:val="255"/>
        </w:trPr>
        <w:tc>
          <w:tcPr>
            <w:tcW w:w="7470" w:type="dxa"/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2620">
        <w:trPr>
          <w:trHeight w:val="255"/>
        </w:trPr>
        <w:tc>
          <w:tcPr>
            <w:tcW w:w="7470" w:type="dxa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FFFF"/>
            <w:vAlign w:val="bottom"/>
          </w:tcPr>
          <w:p w:rsidR="00C82620" w:rsidRDefault="00C8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6591300" cy="1304925"/>
            <wp:effectExtent l="0" t="0" r="0" b="952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Usnesení č. 55/7.3/16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RMČ Praha 20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schvaluje</w:t>
      </w:r>
      <w:r>
        <w:rPr>
          <w:rFonts w:ascii="Arial" w:hAnsi="Arial" w:cs="Arial"/>
          <w:color w:val="000000"/>
          <w:sz w:val="24"/>
          <w:szCs w:val="24"/>
        </w:rPr>
        <w:t xml:space="preserve"> rozpočtové opatření schvalované RMČ na rok 2016 č. 21 - účelová neinvestiční dotace integrace žáků období 1.1.2016-31.8.2016 ve výši 727.300 Kč  na základě svého zmocnění usnesení ZMČ č.11/2.1/16 ze dne 29. 2.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schvaluje</w:t>
      </w:r>
      <w:r>
        <w:rPr>
          <w:rFonts w:ascii="Arial" w:hAnsi="Arial" w:cs="Arial"/>
          <w:color w:val="000000"/>
          <w:sz w:val="24"/>
          <w:szCs w:val="24"/>
        </w:rPr>
        <w:t xml:space="preserve"> zvýšení rozpočtu příspěvkových organizacích ve výši poskytnuté dotace na Integraci žáků za obodbí 1.1.2016-31.8.2016 dle přílohy č. 2</w:t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828925" cy="447675"/>
            <wp:effectExtent l="0" t="0" r="9525" b="952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důvodu změny programu pro předkládání usnesení je změna formátu předkládaných schválených rozpočtových opatření u RO č. 22 - 44</w:t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714625" cy="447675"/>
            <wp:effectExtent l="0" t="0" r="9525" b="952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28775" cy="447675"/>
            <wp:effectExtent l="0" t="0" r="9525" b="952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009650" cy="447675"/>
            <wp:effectExtent l="0" t="0" r="0" b="952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152650" cy="447675"/>
            <wp:effectExtent l="0" t="0" r="0" b="952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00200" cy="447675"/>
            <wp:effectExtent l="0" t="0" r="0" b="952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66875" cy="447675"/>
            <wp:effectExtent l="0" t="0" r="9525" b="952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2143125" cy="447675"/>
            <wp:effectExtent l="0" t="0" r="9525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047875" cy="447675"/>
            <wp:effectExtent l="0" t="0" r="9525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09725" cy="447675"/>
            <wp:effectExtent l="0" t="0" r="9525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095500" cy="447675"/>
            <wp:effectExtent l="0" t="0" r="0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038225" cy="447675"/>
            <wp:effectExtent l="0" t="0" r="9525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990725" cy="44767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162175" cy="44767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105025" cy="447675"/>
            <wp:effectExtent l="0" t="0" r="9525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676525" cy="44767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638550" cy="44767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629025" cy="44767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428875" cy="4476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314700" cy="4476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505325" cy="4476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990600" cy="4476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133725" cy="4476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267200" cy="4476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200525" cy="4476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90600" cy="447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000625" cy="447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20" w:rsidRDefault="00C82620" w:rsidP="00C82620">
      <w:pPr>
        <w:autoSpaceDE w:val="0"/>
        <w:autoSpaceDN w:val="0"/>
        <w:adjustRightInd w:val="0"/>
        <w:spacing w:after="240" w:line="240" w:lineRule="auto"/>
        <w:ind w:left="55"/>
        <w:rPr>
          <w:rFonts w:ascii="Arial" w:hAnsi="Arial" w:cs="Arial"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Návrh na usnesení 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Zastupitelstva městské části Praha 20, konaného dne  13. 6. 2016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Zastupitelstvo městské části Praha 20</w:t>
      </w:r>
    </w:p>
    <w:p w:rsidR="00C82620" w:rsidRDefault="00C82620" w:rsidP="00C826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bere na vědomí </w:t>
      </w:r>
      <w:r>
        <w:rPr>
          <w:rFonts w:ascii="Arial" w:hAnsi="Arial" w:cs="Arial"/>
          <w:color w:val="000000"/>
          <w:sz w:val="24"/>
          <w:szCs w:val="24"/>
        </w:rPr>
        <w:t>schválená rozpočtová opatření na základě zmocnění RMČ Praha 20 č. usnesení  11/2.1/16 za období 12. 4. 2016 - 24. 5. 2016,  čísla rozpočtových opatření  - 15 - 44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Předkladatelka: Hana Moravcová - starostka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Zpracovala: Bc. Martynková Helena - vedoucí OE</w:t>
      </w:r>
    </w:p>
    <w:p w:rsidR="00C82620" w:rsidRDefault="00C82620" w:rsidP="00C82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Dne: 2. 6. 2016</w:t>
      </w:r>
    </w:p>
    <w:p w:rsidR="00DA0BEA" w:rsidRDefault="00DA0BEA">
      <w:bookmarkStart w:id="0" w:name="_GoBack"/>
      <w:bookmarkEnd w:id="0"/>
    </w:p>
    <w:sectPr w:rsidR="00DA0BEA" w:rsidSect="009522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388458"/>
    <w:lvl w:ilvl="0">
      <w:numFmt w:val="bullet"/>
      <w:lvlText w:val="*"/>
      <w:lvlJc w:val="left"/>
    </w:lvl>
  </w:abstractNum>
  <w:abstractNum w:abstractNumId="1">
    <w:nsid w:val="04CE0C68"/>
    <w:multiLevelType w:val="singleLevel"/>
    <w:tmpl w:val="597C57D2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20"/>
    <w:rsid w:val="00C82620"/>
    <w:rsid w:val="00DA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fontTable" Target="fontTable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1630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1</cp:revision>
  <dcterms:created xsi:type="dcterms:W3CDTF">2016-06-02T15:04:00Z</dcterms:created>
  <dcterms:modified xsi:type="dcterms:W3CDTF">2016-06-02T15:05:00Z</dcterms:modified>
</cp:coreProperties>
</file>