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D3" w:rsidRDefault="008964D3" w:rsidP="008964D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u w:val="single"/>
        </w:rPr>
        <w:t>Věc:</w:t>
      </w:r>
      <w:r>
        <w:rPr>
          <w:rFonts w:ascii="Arial" w:hAnsi="Arial" w:cs="Arial"/>
          <w:b/>
          <w:bCs/>
          <w:color w:val="000000"/>
          <w:sz w:val="24"/>
          <w:szCs w:val="24"/>
        </w:rPr>
        <w:t xml:space="preserve"> Informace ZMČ - hospodaření MČ Praha 20 k 31. 3. 2016</w:t>
      </w:r>
    </w:p>
    <w:p w:rsidR="008964D3" w:rsidRDefault="008964D3" w:rsidP="008964D3">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u w:val="single"/>
        </w:rPr>
        <w:t>- důvod předložení:</w:t>
      </w:r>
      <w:r>
        <w:rPr>
          <w:rFonts w:ascii="Arial" w:hAnsi="Arial" w:cs="Arial"/>
          <w:color w:val="000000"/>
          <w:sz w:val="24"/>
          <w:szCs w:val="24"/>
        </w:rPr>
        <w:t xml:space="preserve"> informace o stavu hospodaření </w:t>
      </w:r>
    </w:p>
    <w:p w:rsidR="008964D3" w:rsidRDefault="008964D3" w:rsidP="008964D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u w:val="single"/>
        </w:rPr>
        <w:t>- stručný popis materiálu:</w:t>
      </w:r>
      <w:r>
        <w:rPr>
          <w:rFonts w:ascii="Arial" w:hAnsi="Arial" w:cs="Arial"/>
          <w:color w:val="000000"/>
          <w:sz w:val="24"/>
          <w:szCs w:val="24"/>
        </w:rPr>
        <w:t xml:space="preserve"> </w:t>
      </w:r>
    </w:p>
    <w:p w:rsidR="008964D3" w:rsidRDefault="008964D3" w:rsidP="008964D3">
      <w:pPr>
        <w:autoSpaceDE w:val="0"/>
        <w:autoSpaceDN w:val="0"/>
        <w:adjustRightInd w:val="0"/>
        <w:spacing w:after="0" w:line="240" w:lineRule="auto"/>
        <w:rPr>
          <w:rFonts w:ascii="Arial" w:hAnsi="Arial" w:cs="Arial"/>
          <w:color w:val="000000"/>
          <w:sz w:val="24"/>
          <w:szCs w:val="24"/>
        </w:rPr>
      </w:pPr>
    </w:p>
    <w:p w:rsidR="008964D3" w:rsidRDefault="008964D3" w:rsidP="008964D3">
      <w:pPr>
        <w:keepNext/>
        <w:keepLines/>
        <w:autoSpaceDE w:val="0"/>
        <w:autoSpaceDN w:val="0"/>
        <w:adjustRightInd w:val="0"/>
        <w:spacing w:before="240" w:after="0" w:line="240" w:lineRule="auto"/>
        <w:rPr>
          <w:rFonts w:ascii="Arial" w:hAnsi="Arial" w:cs="Arial"/>
          <w:b/>
          <w:bCs/>
          <w:color w:val="000000"/>
          <w:sz w:val="24"/>
          <w:szCs w:val="24"/>
        </w:rPr>
      </w:pPr>
      <w:r>
        <w:rPr>
          <w:rFonts w:ascii="Arial" w:hAnsi="Arial" w:cs="Arial"/>
          <w:b/>
          <w:bCs/>
          <w:color w:val="000000"/>
          <w:sz w:val="24"/>
          <w:szCs w:val="24"/>
        </w:rPr>
        <w:t>Hospodaření MČ Praha 20 za 1. čtvrtletí roku 2016</w:t>
      </w:r>
    </w:p>
    <w:p w:rsidR="008964D3" w:rsidRDefault="008964D3" w:rsidP="008964D3">
      <w:pPr>
        <w:autoSpaceDE w:val="0"/>
        <w:autoSpaceDN w:val="0"/>
        <w:adjustRightInd w:val="0"/>
        <w:spacing w:after="240" w:line="240" w:lineRule="auto"/>
        <w:rPr>
          <w:rFonts w:ascii="Arial" w:hAnsi="Arial" w:cs="Arial"/>
          <w:color w:val="000000"/>
          <w:sz w:val="24"/>
          <w:szCs w:val="24"/>
        </w:rPr>
      </w:pPr>
      <w:r>
        <w:rPr>
          <w:rFonts w:ascii="Arial" w:hAnsi="Arial" w:cs="Arial"/>
          <w:color w:val="000000"/>
          <w:sz w:val="24"/>
          <w:szCs w:val="24"/>
        </w:rPr>
        <w:t xml:space="preserve">K 31. 3. 2016 MČ Praha 20 měla celkové příjmy po konsolidaci ve výši 4.530,05 tis. Kč to </w:t>
      </w:r>
      <w:proofErr w:type="gramStart"/>
      <w:r>
        <w:rPr>
          <w:rFonts w:ascii="Arial" w:hAnsi="Arial" w:cs="Arial"/>
          <w:color w:val="000000"/>
          <w:sz w:val="24"/>
          <w:szCs w:val="24"/>
        </w:rPr>
        <w:t>je</w:t>
      </w:r>
      <w:proofErr w:type="gramEnd"/>
      <w:r>
        <w:rPr>
          <w:rFonts w:ascii="Arial" w:hAnsi="Arial" w:cs="Arial"/>
          <w:color w:val="000000"/>
          <w:sz w:val="24"/>
          <w:szCs w:val="24"/>
        </w:rPr>
        <w:t xml:space="preserve"> 9,17 % upraveného rozpočtu (RU), rozpočtové výdaje po konsolidaci k 31. 3. 2016 23.242,20 tis. Kč to je 9,67 % RU, z toho běžné výdaje ve výši 22.343,07 tis. Kč to je 9.29 % RU a kapitálové výdaje ve výši 899,13 tis. Kč to je 0,86 % RU. Přijaté transfery 26.040,60 tis. Kč to je 25,47 % RU. Financování </w:t>
      </w:r>
      <w:proofErr w:type="gramStart"/>
      <w:r>
        <w:rPr>
          <w:rFonts w:ascii="Arial" w:hAnsi="Arial" w:cs="Arial"/>
          <w:color w:val="000000"/>
          <w:sz w:val="24"/>
          <w:szCs w:val="24"/>
        </w:rPr>
        <w:t>celke</w:t>
      </w:r>
      <w:bookmarkStart w:id="0" w:name="_GoBack"/>
      <w:bookmarkEnd w:id="0"/>
      <w:r>
        <w:rPr>
          <w:rFonts w:ascii="Arial" w:hAnsi="Arial" w:cs="Arial"/>
          <w:color w:val="000000"/>
          <w:sz w:val="24"/>
          <w:szCs w:val="24"/>
        </w:rPr>
        <w:t>m    – 18.712,15</w:t>
      </w:r>
      <w:proofErr w:type="gramEnd"/>
      <w:r>
        <w:rPr>
          <w:rFonts w:ascii="Arial" w:hAnsi="Arial" w:cs="Arial"/>
          <w:color w:val="000000"/>
          <w:sz w:val="24"/>
          <w:szCs w:val="24"/>
        </w:rPr>
        <w:t xml:space="preserve"> tis. Kč.</w:t>
      </w:r>
    </w:p>
    <w:p w:rsidR="008964D3" w:rsidRDefault="008964D3" w:rsidP="008964D3">
      <w:pPr>
        <w:autoSpaceDE w:val="0"/>
        <w:autoSpaceDN w:val="0"/>
        <w:adjustRightInd w:val="0"/>
        <w:spacing w:after="240" w:line="240" w:lineRule="auto"/>
        <w:rPr>
          <w:rFonts w:ascii="Arial" w:hAnsi="Arial" w:cs="Arial"/>
          <w:b/>
          <w:bCs/>
          <w:color w:val="000000"/>
          <w:sz w:val="24"/>
          <w:szCs w:val="24"/>
        </w:rPr>
      </w:pPr>
      <w:r>
        <w:rPr>
          <w:rFonts w:ascii="Arial" w:hAnsi="Arial" w:cs="Arial"/>
          <w:b/>
          <w:bCs/>
          <w:color w:val="000000"/>
          <w:sz w:val="24"/>
          <w:szCs w:val="24"/>
        </w:rPr>
        <w:t>Běžné výdaje:</w:t>
      </w:r>
    </w:p>
    <w:p w:rsidR="008964D3" w:rsidRDefault="008964D3" w:rsidP="008964D3">
      <w:pPr>
        <w:autoSpaceDE w:val="0"/>
        <w:autoSpaceDN w:val="0"/>
        <w:adjustRightInd w:val="0"/>
        <w:spacing w:after="240" w:line="240" w:lineRule="auto"/>
        <w:rPr>
          <w:rFonts w:ascii="Arial" w:hAnsi="Arial" w:cs="Arial"/>
          <w:color w:val="000000"/>
          <w:sz w:val="24"/>
          <w:szCs w:val="24"/>
        </w:rPr>
      </w:pPr>
      <w:r>
        <w:rPr>
          <w:rFonts w:ascii="Arial" w:hAnsi="Arial" w:cs="Arial"/>
          <w:color w:val="000000"/>
          <w:sz w:val="24"/>
          <w:szCs w:val="24"/>
        </w:rPr>
        <w:t xml:space="preserve">Celkové čerpání běžných výdajů k 31. 3. 2016 pouze na 9,29 % RU 22.243,07 tis. Kč způsobeno tím, že MČ Praha 20 byla v rozpočtovém provizoriu a tím byly čerpány jen nutné výdaje. </w:t>
      </w:r>
    </w:p>
    <w:p w:rsidR="008964D3" w:rsidRDefault="008964D3" w:rsidP="008964D3">
      <w:pPr>
        <w:autoSpaceDE w:val="0"/>
        <w:autoSpaceDN w:val="0"/>
        <w:adjustRightInd w:val="0"/>
        <w:spacing w:after="240" w:line="240" w:lineRule="auto"/>
        <w:rPr>
          <w:rFonts w:ascii="Arial" w:hAnsi="Arial" w:cs="Arial"/>
          <w:b/>
          <w:bCs/>
          <w:color w:val="000000"/>
          <w:sz w:val="24"/>
          <w:szCs w:val="24"/>
        </w:rPr>
      </w:pPr>
      <w:r>
        <w:rPr>
          <w:rFonts w:ascii="Arial" w:hAnsi="Arial" w:cs="Arial"/>
          <w:b/>
          <w:bCs/>
          <w:color w:val="000000"/>
          <w:sz w:val="24"/>
          <w:szCs w:val="24"/>
        </w:rPr>
        <w:t>Investiční výdaje:</w:t>
      </w:r>
    </w:p>
    <w:p w:rsidR="008964D3" w:rsidRDefault="008964D3" w:rsidP="008964D3">
      <w:pPr>
        <w:autoSpaceDE w:val="0"/>
        <w:autoSpaceDN w:val="0"/>
        <w:adjustRightInd w:val="0"/>
        <w:spacing w:after="240" w:line="240" w:lineRule="auto"/>
        <w:rPr>
          <w:rFonts w:ascii="Arial" w:hAnsi="Arial" w:cs="Arial"/>
          <w:color w:val="000000"/>
          <w:sz w:val="24"/>
          <w:szCs w:val="24"/>
        </w:rPr>
      </w:pPr>
      <w:r>
        <w:rPr>
          <w:rFonts w:ascii="Arial" w:hAnsi="Arial" w:cs="Arial"/>
          <w:color w:val="000000"/>
          <w:sz w:val="24"/>
          <w:szCs w:val="24"/>
        </w:rPr>
        <w:t xml:space="preserve">Celkové čerpání investičních výdajů </w:t>
      </w:r>
      <w:proofErr w:type="gramStart"/>
      <w:r>
        <w:rPr>
          <w:rFonts w:ascii="Arial" w:hAnsi="Arial" w:cs="Arial"/>
          <w:color w:val="000000"/>
          <w:sz w:val="24"/>
          <w:szCs w:val="24"/>
        </w:rPr>
        <w:t>je</w:t>
      </w:r>
      <w:proofErr w:type="gramEnd"/>
      <w:r>
        <w:rPr>
          <w:rFonts w:ascii="Arial" w:hAnsi="Arial" w:cs="Arial"/>
          <w:color w:val="000000"/>
          <w:sz w:val="24"/>
          <w:szCs w:val="24"/>
        </w:rPr>
        <w:t xml:space="preserve"> pouze 0,86 % RU to je 899,13 tis. Kč, v tomto období byly čerpány investiční výdaje, které již byly započaty v roce 2015. Vzhledem k rozpočtovému provizoriu se kapitálové výdaje nečerpaly. Významnější čerpání kapitálových výdajů očekáváme až od 2. pololetí roku 2016.</w:t>
      </w:r>
    </w:p>
    <w:p w:rsidR="008964D3" w:rsidRDefault="008964D3" w:rsidP="008964D3">
      <w:pPr>
        <w:tabs>
          <w:tab w:val="left" w:pos="4536"/>
          <w:tab w:val="left" w:pos="9072"/>
        </w:tabs>
        <w:autoSpaceDE w:val="0"/>
        <w:autoSpaceDN w:val="0"/>
        <w:adjustRightInd w:val="0"/>
        <w:spacing w:after="0" w:line="240" w:lineRule="auto"/>
        <w:jc w:val="center"/>
        <w:rPr>
          <w:rFonts w:ascii="Arial" w:hAnsi="Arial" w:cs="Arial"/>
          <w:color w:val="000000"/>
          <w:sz w:val="24"/>
          <w:szCs w:val="24"/>
        </w:rPr>
      </w:pPr>
    </w:p>
    <w:p w:rsidR="008964D3" w:rsidRDefault="008964D3" w:rsidP="008964D3">
      <w:pPr>
        <w:tabs>
          <w:tab w:val="left" w:pos="4536"/>
          <w:tab w:val="left" w:pos="9072"/>
        </w:tabs>
        <w:autoSpaceDE w:val="0"/>
        <w:autoSpaceDN w:val="0"/>
        <w:adjustRightInd w:val="0"/>
        <w:spacing w:after="0" w:line="240" w:lineRule="auto"/>
        <w:rPr>
          <w:rFonts w:ascii="Arial" w:hAnsi="Arial" w:cs="Arial"/>
          <w:color w:val="000000"/>
          <w:sz w:val="24"/>
          <w:szCs w:val="24"/>
        </w:rPr>
      </w:pPr>
    </w:p>
    <w:p w:rsidR="008964D3" w:rsidRDefault="008964D3" w:rsidP="008964D3">
      <w:pPr>
        <w:autoSpaceDE w:val="0"/>
        <w:autoSpaceDN w:val="0"/>
        <w:adjustRightInd w:val="0"/>
        <w:spacing w:after="240" w:line="240" w:lineRule="auto"/>
        <w:rPr>
          <w:rFonts w:ascii="Arial" w:hAnsi="Arial" w:cs="Arial"/>
          <w:b/>
          <w:bCs/>
          <w:color w:val="000000"/>
          <w:sz w:val="24"/>
          <w:szCs w:val="24"/>
        </w:rPr>
      </w:pPr>
      <w:r>
        <w:rPr>
          <w:rFonts w:ascii="Arial" w:hAnsi="Arial" w:cs="Arial"/>
          <w:b/>
          <w:bCs/>
          <w:color w:val="000000"/>
          <w:sz w:val="24"/>
          <w:szCs w:val="24"/>
        </w:rPr>
        <w:t>Zdaňovaná činnost:</w:t>
      </w:r>
    </w:p>
    <w:p w:rsidR="008964D3" w:rsidRDefault="008964D3" w:rsidP="008964D3">
      <w:pPr>
        <w:autoSpaceDE w:val="0"/>
        <w:autoSpaceDN w:val="0"/>
        <w:adjustRightInd w:val="0"/>
        <w:spacing w:after="240" w:line="240" w:lineRule="auto"/>
        <w:rPr>
          <w:rFonts w:ascii="Arial" w:hAnsi="Arial" w:cs="Arial"/>
          <w:color w:val="000000"/>
          <w:sz w:val="24"/>
          <w:szCs w:val="24"/>
        </w:rPr>
      </w:pPr>
      <w:r>
        <w:rPr>
          <w:rFonts w:ascii="Arial" w:hAnsi="Arial" w:cs="Arial"/>
          <w:color w:val="000000"/>
          <w:sz w:val="24"/>
          <w:szCs w:val="24"/>
        </w:rPr>
        <w:t>Hospodářský výsledek zdaňované činnosti k 31. 3. 2016 je ve výši 4.864,56 tis. Kč. Celkové náklady ve výši 1.528,38 tis. Kč a celkové výnosy ve výši 6.392,94 tis. Kč.</w:t>
      </w:r>
    </w:p>
    <w:p w:rsidR="008964D3" w:rsidRDefault="008964D3" w:rsidP="008964D3">
      <w:pPr>
        <w:autoSpaceDE w:val="0"/>
        <w:autoSpaceDN w:val="0"/>
        <w:adjustRightInd w:val="0"/>
        <w:spacing w:after="240" w:line="240" w:lineRule="auto"/>
        <w:rPr>
          <w:rFonts w:ascii="Arial" w:hAnsi="Arial" w:cs="Arial"/>
          <w:b/>
          <w:bCs/>
          <w:color w:val="000000"/>
          <w:sz w:val="24"/>
          <w:szCs w:val="24"/>
        </w:rPr>
      </w:pPr>
      <w:r>
        <w:rPr>
          <w:rFonts w:ascii="Arial" w:hAnsi="Arial" w:cs="Arial"/>
          <w:b/>
          <w:bCs/>
          <w:color w:val="000000"/>
          <w:sz w:val="24"/>
          <w:szCs w:val="24"/>
        </w:rPr>
        <w:t>Běžné výdaje:</w:t>
      </w:r>
    </w:p>
    <w:p w:rsidR="008964D3" w:rsidRDefault="008964D3" w:rsidP="008964D3">
      <w:pPr>
        <w:autoSpaceDE w:val="0"/>
        <w:autoSpaceDN w:val="0"/>
        <w:adjustRightInd w:val="0"/>
        <w:spacing w:after="240" w:line="240" w:lineRule="auto"/>
        <w:rPr>
          <w:rFonts w:ascii="Arial" w:hAnsi="Arial" w:cs="Arial"/>
          <w:color w:val="000000"/>
          <w:sz w:val="24"/>
          <w:szCs w:val="24"/>
        </w:rPr>
      </w:pPr>
      <w:r>
        <w:rPr>
          <w:rFonts w:ascii="Arial" w:hAnsi="Arial" w:cs="Arial"/>
          <w:color w:val="000000"/>
          <w:sz w:val="24"/>
          <w:szCs w:val="24"/>
        </w:rPr>
        <w:t xml:space="preserve">Celkové výdaje na opravy a údržbu správy bytového fondu byly ve výši 221,60 tis. Kč. Výdaje za ostatní služby (revize atd.) ve výši 71,05 tis. Kč.  Mzdové náklady SBF za 1. čtvrtletí 2016 ve výši 516,06 tis. Kč. Dále bylo účtováno o nákladech z vyřazených pohledávek ve výši 38,14 tis. Kč. </w:t>
      </w:r>
    </w:p>
    <w:p w:rsidR="008964D3" w:rsidRDefault="008964D3" w:rsidP="008964D3">
      <w:pPr>
        <w:autoSpaceDE w:val="0"/>
        <w:autoSpaceDN w:val="0"/>
        <w:adjustRightInd w:val="0"/>
        <w:spacing w:after="240" w:line="240" w:lineRule="auto"/>
        <w:rPr>
          <w:rFonts w:ascii="Arial" w:hAnsi="Arial" w:cs="Arial"/>
          <w:color w:val="000000"/>
          <w:sz w:val="24"/>
          <w:szCs w:val="24"/>
        </w:rPr>
      </w:pPr>
      <w:r>
        <w:rPr>
          <w:rFonts w:ascii="Arial" w:hAnsi="Arial" w:cs="Arial"/>
          <w:color w:val="000000"/>
          <w:sz w:val="24"/>
          <w:szCs w:val="24"/>
        </w:rPr>
        <w:t>Celkové výdaje zdaňované (hospodářské) činnosti k 31. 3. 2016 byly ve výši 676,88 tis. Kč.</w:t>
      </w:r>
      <w:r>
        <w:rPr>
          <w:rFonts w:ascii="Arial" w:hAnsi="Arial" w:cs="Arial"/>
          <w:color w:val="000000"/>
          <w:sz w:val="24"/>
          <w:szCs w:val="24"/>
        </w:rPr>
        <w:tab/>
      </w:r>
    </w:p>
    <w:p w:rsidR="008964D3" w:rsidRDefault="008964D3" w:rsidP="008964D3">
      <w:pPr>
        <w:autoSpaceDE w:val="0"/>
        <w:autoSpaceDN w:val="0"/>
        <w:adjustRightInd w:val="0"/>
        <w:spacing w:after="240" w:line="240" w:lineRule="auto"/>
        <w:rPr>
          <w:rFonts w:ascii="Arial" w:hAnsi="Arial" w:cs="Arial"/>
          <w:b/>
          <w:bCs/>
          <w:color w:val="000000"/>
          <w:sz w:val="24"/>
          <w:szCs w:val="24"/>
        </w:rPr>
      </w:pPr>
      <w:r>
        <w:rPr>
          <w:rFonts w:ascii="Arial" w:hAnsi="Arial" w:cs="Arial"/>
          <w:b/>
          <w:bCs/>
          <w:color w:val="000000"/>
          <w:sz w:val="24"/>
          <w:szCs w:val="24"/>
        </w:rPr>
        <w:t>Příjmy:</w:t>
      </w:r>
    </w:p>
    <w:p w:rsidR="008964D3" w:rsidRDefault="008964D3" w:rsidP="008964D3">
      <w:pPr>
        <w:autoSpaceDE w:val="0"/>
        <w:autoSpaceDN w:val="0"/>
        <w:adjustRightInd w:val="0"/>
        <w:spacing w:after="240" w:line="240" w:lineRule="auto"/>
        <w:rPr>
          <w:rFonts w:ascii="Arial" w:hAnsi="Arial" w:cs="Arial"/>
          <w:color w:val="000000"/>
          <w:sz w:val="24"/>
          <w:szCs w:val="24"/>
        </w:rPr>
      </w:pPr>
      <w:r>
        <w:rPr>
          <w:rFonts w:ascii="Arial" w:hAnsi="Arial" w:cs="Arial"/>
          <w:color w:val="000000"/>
          <w:sz w:val="24"/>
          <w:szCs w:val="24"/>
        </w:rPr>
        <w:t>Výnosy z pronájmů bytů (SBF) činily za 1. čtvrtletí 2016 4.522,73 tis. Kč.</w:t>
      </w:r>
    </w:p>
    <w:p w:rsidR="008964D3" w:rsidRDefault="008964D3" w:rsidP="008964D3">
      <w:pPr>
        <w:autoSpaceDE w:val="0"/>
        <w:autoSpaceDN w:val="0"/>
        <w:adjustRightInd w:val="0"/>
        <w:spacing w:after="240" w:line="240" w:lineRule="auto"/>
        <w:rPr>
          <w:rFonts w:ascii="Arial" w:hAnsi="Arial" w:cs="Arial"/>
          <w:b/>
          <w:bCs/>
          <w:color w:val="000000"/>
          <w:sz w:val="24"/>
          <w:szCs w:val="24"/>
        </w:rPr>
      </w:pPr>
      <w:r>
        <w:rPr>
          <w:rFonts w:ascii="Arial" w:hAnsi="Arial" w:cs="Arial"/>
          <w:color w:val="000000"/>
          <w:sz w:val="24"/>
          <w:szCs w:val="24"/>
        </w:rPr>
        <w:t xml:space="preserve">Příjmy ze zdaňované (hospodářské) činnosti jsou za pronájmy ve výši 1.102,85 tis. Kč, z prodeje služeb (pronájem antén, informačních tabulí, hřbitovní služby, atd.) ve výši </w:t>
      </w:r>
      <w:r>
        <w:rPr>
          <w:rFonts w:ascii="Arial" w:hAnsi="Arial" w:cs="Arial"/>
          <w:color w:val="000000"/>
          <w:sz w:val="24"/>
          <w:szCs w:val="24"/>
        </w:rPr>
        <w:lastRenderedPageBreak/>
        <w:t>337,08 tis. Kč, z prodeje zboží (pře-prodej vody) ve výši 79,53 tis. Kč a z výnosu z prodeje pozemku 308,06 tis. Kč.</w:t>
      </w:r>
      <w:r>
        <w:rPr>
          <w:rFonts w:ascii="Arial" w:hAnsi="Arial" w:cs="Arial"/>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p>
    <w:p w:rsidR="008964D3" w:rsidRDefault="008964D3" w:rsidP="008964D3">
      <w:pPr>
        <w:autoSpaceDE w:val="0"/>
        <w:autoSpaceDN w:val="0"/>
        <w:adjustRightInd w:val="0"/>
        <w:spacing w:after="240" w:line="240" w:lineRule="auto"/>
        <w:rPr>
          <w:rFonts w:ascii="Arial" w:hAnsi="Arial" w:cs="Arial"/>
          <w:b/>
          <w:bCs/>
          <w:color w:val="000000"/>
          <w:sz w:val="24"/>
          <w:szCs w:val="24"/>
        </w:rPr>
      </w:pPr>
      <w:r>
        <w:rPr>
          <w:rFonts w:ascii="Arial" w:hAnsi="Arial" w:cs="Arial"/>
          <w:b/>
          <w:bCs/>
          <w:noProof/>
          <w:color w:val="000000"/>
          <w:sz w:val="24"/>
          <w:szCs w:val="24"/>
          <w:lang w:eastAsia="cs-CZ"/>
        </w:rPr>
        <w:drawing>
          <wp:inline distT="0" distB="0" distL="0" distR="0">
            <wp:extent cx="2171700" cy="4476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447675"/>
                    </a:xfrm>
                    <a:prstGeom prst="rect">
                      <a:avLst/>
                    </a:prstGeom>
                    <a:noFill/>
                    <a:ln>
                      <a:noFill/>
                    </a:ln>
                  </pic:spPr>
                </pic:pic>
              </a:graphicData>
            </a:graphic>
          </wp:inline>
        </w:drawing>
      </w:r>
      <w:r>
        <w:rPr>
          <w:rFonts w:ascii="Arial" w:hAnsi="Arial" w:cs="Arial"/>
          <w:b/>
          <w:bCs/>
          <w:noProof/>
          <w:color w:val="000000"/>
          <w:sz w:val="24"/>
          <w:szCs w:val="24"/>
          <w:lang w:eastAsia="cs-CZ"/>
        </w:rPr>
        <w:drawing>
          <wp:inline distT="0" distB="0" distL="0" distR="0">
            <wp:extent cx="1914525" cy="4476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447675"/>
                    </a:xfrm>
                    <a:prstGeom prst="rect">
                      <a:avLst/>
                    </a:prstGeom>
                    <a:noFill/>
                    <a:ln>
                      <a:noFill/>
                    </a:ln>
                  </pic:spPr>
                </pic:pic>
              </a:graphicData>
            </a:graphic>
          </wp:inline>
        </w:drawing>
      </w:r>
    </w:p>
    <w:p w:rsidR="008964D3" w:rsidRDefault="008964D3" w:rsidP="008964D3">
      <w:pPr>
        <w:autoSpaceDE w:val="0"/>
        <w:autoSpaceDN w:val="0"/>
        <w:adjustRightInd w:val="0"/>
        <w:spacing w:after="240" w:line="240" w:lineRule="auto"/>
        <w:rPr>
          <w:rFonts w:ascii="Arial" w:hAnsi="Arial" w:cs="Arial"/>
          <w:b/>
          <w:bCs/>
          <w:color w:val="000000"/>
          <w:sz w:val="24"/>
          <w:szCs w:val="24"/>
        </w:rPr>
      </w:pPr>
    </w:p>
    <w:p w:rsidR="008964D3" w:rsidRDefault="008964D3" w:rsidP="008964D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Návrh na usnesení </w:t>
      </w:r>
    </w:p>
    <w:p w:rsidR="008964D3" w:rsidRDefault="008964D3" w:rsidP="008964D3">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Zastupitelstva městské části Praha 20, konaného </w:t>
      </w:r>
      <w:r>
        <w:rPr>
          <w:rFonts w:ascii="Arial" w:hAnsi="Arial" w:cs="Arial"/>
          <w:b/>
          <w:bCs/>
          <w:color w:val="000000"/>
          <w:sz w:val="24"/>
          <w:szCs w:val="24"/>
        </w:rPr>
        <w:t>dne 13</w:t>
      </w:r>
      <w:r>
        <w:rPr>
          <w:rFonts w:ascii="Arial" w:hAnsi="Arial" w:cs="Arial"/>
          <w:b/>
          <w:bCs/>
          <w:color w:val="000000"/>
          <w:sz w:val="24"/>
          <w:szCs w:val="24"/>
        </w:rPr>
        <w:t>. 6. 2016</w:t>
      </w:r>
    </w:p>
    <w:p w:rsidR="008964D3" w:rsidRDefault="008964D3" w:rsidP="008964D3">
      <w:pPr>
        <w:autoSpaceDE w:val="0"/>
        <w:autoSpaceDN w:val="0"/>
        <w:adjustRightInd w:val="0"/>
        <w:spacing w:after="0" w:line="240" w:lineRule="auto"/>
        <w:jc w:val="center"/>
        <w:rPr>
          <w:rFonts w:ascii="Arial" w:hAnsi="Arial" w:cs="Arial"/>
          <w:b/>
          <w:bCs/>
          <w:color w:val="000000"/>
          <w:sz w:val="24"/>
          <w:szCs w:val="24"/>
        </w:rPr>
      </w:pPr>
    </w:p>
    <w:p w:rsidR="008964D3" w:rsidRDefault="008964D3" w:rsidP="008964D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Zastupitelstvo městské části Praha 20</w:t>
      </w:r>
    </w:p>
    <w:p w:rsidR="008964D3" w:rsidRDefault="008964D3" w:rsidP="008964D3">
      <w:pPr>
        <w:numPr>
          <w:ilvl w:val="0"/>
          <w:numId w:val="1"/>
        </w:numPr>
        <w:autoSpaceDE w:val="0"/>
        <w:autoSpaceDN w:val="0"/>
        <w:adjustRightInd w:val="0"/>
        <w:spacing w:after="0" w:line="240" w:lineRule="auto"/>
        <w:ind w:left="360" w:hanging="360"/>
        <w:jc w:val="both"/>
        <w:rPr>
          <w:rFonts w:ascii="Arial" w:hAnsi="Arial" w:cs="Arial"/>
          <w:color w:val="000000"/>
          <w:sz w:val="24"/>
          <w:szCs w:val="24"/>
        </w:rPr>
      </w:pPr>
      <w:r>
        <w:rPr>
          <w:rFonts w:ascii="Arial" w:hAnsi="Arial" w:cs="Arial"/>
          <w:b/>
          <w:bCs/>
          <w:i/>
          <w:iCs/>
          <w:color w:val="000000"/>
          <w:sz w:val="24"/>
          <w:szCs w:val="24"/>
        </w:rPr>
        <w:t xml:space="preserve">bere na vědomí </w:t>
      </w:r>
      <w:r>
        <w:rPr>
          <w:rFonts w:ascii="Arial" w:hAnsi="Arial" w:cs="Arial"/>
          <w:color w:val="000000"/>
          <w:sz w:val="24"/>
          <w:szCs w:val="24"/>
        </w:rPr>
        <w:t>hospodaření MČ Praha 20 k 31. 3. 2016</w:t>
      </w:r>
    </w:p>
    <w:p w:rsidR="008964D3" w:rsidRDefault="008964D3" w:rsidP="008964D3">
      <w:pPr>
        <w:autoSpaceDE w:val="0"/>
        <w:autoSpaceDN w:val="0"/>
        <w:adjustRightInd w:val="0"/>
        <w:spacing w:after="0" w:line="240" w:lineRule="auto"/>
        <w:jc w:val="both"/>
        <w:rPr>
          <w:rFonts w:ascii="Arial" w:hAnsi="Arial" w:cs="Arial"/>
          <w:color w:val="000000"/>
          <w:sz w:val="24"/>
          <w:szCs w:val="24"/>
        </w:rPr>
      </w:pPr>
    </w:p>
    <w:p w:rsidR="008964D3" w:rsidRDefault="008964D3" w:rsidP="008964D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Předkladatelka: Hana Moravcová - starostka</w:t>
      </w:r>
    </w:p>
    <w:p w:rsidR="008964D3" w:rsidRDefault="008964D3" w:rsidP="008964D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Zpracovala: Bc. Martynková Helena - vedoucí OE</w:t>
      </w:r>
    </w:p>
    <w:p w:rsidR="008964D3" w:rsidRDefault="008964D3" w:rsidP="008964D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Dne: 6. 6. 2016</w:t>
      </w:r>
    </w:p>
    <w:p w:rsidR="002B7BE6" w:rsidRDefault="002B7BE6"/>
    <w:sectPr w:rsidR="002B7BE6" w:rsidSect="00227E1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88AAA"/>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D3"/>
    <w:rsid w:val="002B7BE6"/>
    <w:rsid w:val="00896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64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64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2042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Martynková Helena</dc:creator>
  <cp:lastModifiedBy>Martynková Helena</cp:lastModifiedBy>
  <cp:revision>1</cp:revision>
  <dcterms:created xsi:type="dcterms:W3CDTF">2016-06-06T09:54:00Z</dcterms:created>
  <dcterms:modified xsi:type="dcterms:W3CDTF">2016-06-06T09:55:00Z</dcterms:modified>
</cp:coreProperties>
</file>