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Rozpočtové opatření schvalované RMČ na rok 2016 č. </w:t>
      </w:r>
      <w:r w:rsidR="00BC3FC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9A7FD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25439D">
        <w:rPr>
          <w:rFonts w:ascii="Arial" w:hAnsi="Arial" w:cs="Arial"/>
          <w:b/>
          <w:bCs/>
          <w:color w:val="000000"/>
          <w:sz w:val="24"/>
          <w:szCs w:val="24"/>
        </w:rPr>
        <w:t xml:space="preserve">účelová neinvestiční dotace </w:t>
      </w:r>
      <w:r w:rsidR="00C954A2">
        <w:rPr>
          <w:rFonts w:ascii="Arial" w:hAnsi="Arial" w:cs="Arial"/>
          <w:b/>
          <w:bCs/>
          <w:color w:val="000000"/>
          <w:sz w:val="24"/>
          <w:szCs w:val="24"/>
        </w:rPr>
        <w:t xml:space="preserve">z MPSV 1. </w:t>
      </w:r>
      <w:r w:rsidR="00E229AE">
        <w:rPr>
          <w:rFonts w:ascii="Arial" w:hAnsi="Arial" w:cs="Arial"/>
          <w:b/>
          <w:bCs/>
          <w:color w:val="000000"/>
          <w:sz w:val="24"/>
          <w:szCs w:val="24"/>
        </w:rPr>
        <w:t>splátka</w:t>
      </w:r>
      <w:r w:rsidR="00C954A2">
        <w:rPr>
          <w:rFonts w:ascii="Arial" w:hAnsi="Arial" w:cs="Arial"/>
          <w:b/>
          <w:bCs/>
          <w:color w:val="000000"/>
          <w:sz w:val="24"/>
          <w:szCs w:val="24"/>
        </w:rPr>
        <w:t xml:space="preserve"> na úhradu výdajů vzniklých v souvislosti s výkonem SPOD</w:t>
      </w:r>
      <w:r w:rsidR="00E229AE">
        <w:rPr>
          <w:rFonts w:ascii="Arial" w:hAnsi="Arial" w:cs="Arial"/>
          <w:b/>
          <w:bCs/>
          <w:color w:val="000000"/>
          <w:sz w:val="24"/>
          <w:szCs w:val="24"/>
        </w:rPr>
        <w:t xml:space="preserve"> na rok 2016</w:t>
      </w:r>
      <w:r w:rsidR="00C954A2">
        <w:rPr>
          <w:rFonts w:ascii="Arial" w:hAnsi="Arial" w:cs="Arial"/>
          <w:b/>
          <w:bCs/>
          <w:color w:val="000000"/>
          <w:sz w:val="24"/>
          <w:szCs w:val="24"/>
        </w:rPr>
        <w:t xml:space="preserve"> a doplatek nákladů </w:t>
      </w:r>
      <w:proofErr w:type="gramStart"/>
      <w:r w:rsidR="00C954A2">
        <w:rPr>
          <w:rFonts w:ascii="Arial" w:hAnsi="Arial" w:cs="Arial"/>
          <w:b/>
          <w:bCs/>
          <w:color w:val="000000"/>
          <w:sz w:val="24"/>
          <w:szCs w:val="24"/>
        </w:rPr>
        <w:t>SPOD</w:t>
      </w:r>
      <w:proofErr w:type="gramEnd"/>
      <w:r w:rsidR="00C954A2">
        <w:rPr>
          <w:rFonts w:ascii="Arial" w:hAnsi="Arial" w:cs="Arial"/>
          <w:b/>
          <w:bCs/>
          <w:color w:val="000000"/>
          <w:sz w:val="24"/>
          <w:szCs w:val="24"/>
        </w:rPr>
        <w:t xml:space="preserve"> za rok 2015</w:t>
      </w:r>
      <w:bookmarkEnd w:id="0"/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917E4F">
        <w:rPr>
          <w:rFonts w:ascii="Arial" w:hAnsi="Arial" w:cs="Arial"/>
          <w:color w:val="000000"/>
          <w:sz w:val="24"/>
          <w:szCs w:val="24"/>
        </w:rPr>
        <w:t xml:space="preserve">RHMP č. </w:t>
      </w:r>
      <w:r w:rsidR="00355C61">
        <w:rPr>
          <w:rFonts w:ascii="Arial" w:hAnsi="Arial" w:cs="Arial"/>
          <w:color w:val="000000"/>
          <w:sz w:val="24"/>
          <w:szCs w:val="24"/>
        </w:rPr>
        <w:t>12</w:t>
      </w:r>
      <w:r w:rsidR="00C954A2">
        <w:rPr>
          <w:rFonts w:ascii="Arial" w:hAnsi="Arial" w:cs="Arial"/>
          <w:color w:val="000000"/>
          <w:sz w:val="24"/>
          <w:szCs w:val="24"/>
        </w:rPr>
        <w:t>61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 ze dne </w:t>
      </w:r>
      <w:r w:rsidR="0025439D">
        <w:rPr>
          <w:rFonts w:ascii="Arial" w:hAnsi="Arial" w:cs="Arial"/>
          <w:color w:val="000000"/>
          <w:sz w:val="24"/>
          <w:szCs w:val="24"/>
        </w:rPr>
        <w:t>2</w:t>
      </w:r>
      <w:r w:rsidR="00355C61">
        <w:rPr>
          <w:rFonts w:ascii="Arial" w:hAnsi="Arial" w:cs="Arial"/>
          <w:color w:val="000000"/>
          <w:sz w:val="24"/>
          <w:szCs w:val="24"/>
        </w:rPr>
        <w:t>4</w:t>
      </w:r>
      <w:r w:rsidR="00917E4F">
        <w:rPr>
          <w:rFonts w:ascii="Arial" w:hAnsi="Arial" w:cs="Arial"/>
          <w:color w:val="000000"/>
          <w:sz w:val="24"/>
          <w:szCs w:val="24"/>
        </w:rPr>
        <w:t xml:space="preserve">. </w:t>
      </w:r>
      <w:r w:rsidR="00355C61">
        <w:rPr>
          <w:rFonts w:ascii="Arial" w:hAnsi="Arial" w:cs="Arial"/>
          <w:color w:val="000000"/>
          <w:sz w:val="24"/>
          <w:szCs w:val="24"/>
        </w:rPr>
        <w:t>5</w:t>
      </w:r>
      <w:r w:rsidR="00917E4F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55C61">
        <w:rPr>
          <w:rFonts w:ascii="Arial" w:hAnsi="Arial" w:cs="Arial"/>
          <w:color w:val="000000"/>
          <w:sz w:val="24"/>
          <w:szCs w:val="24"/>
        </w:rPr>
        <w:t>7. 6. 2016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3FCD" w:rsidRDefault="00917E4F" w:rsidP="00BC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Rada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107B52">
        <w:rPr>
          <w:rFonts w:ascii="Arial" w:hAnsi="Arial" w:cs="Arial"/>
          <w:color w:val="000000"/>
          <w:sz w:val="24"/>
          <w:szCs w:val="24"/>
        </w:rPr>
        <w:t>hl.m</w:t>
      </w:r>
      <w:proofErr w:type="spellEnd"/>
      <w:r w:rsidR="00107B5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107B52">
        <w:rPr>
          <w:rFonts w:ascii="Arial" w:hAnsi="Arial" w:cs="Arial"/>
          <w:color w:val="000000"/>
          <w:sz w:val="24"/>
          <w:szCs w:val="24"/>
        </w:rPr>
        <w:t xml:space="preserve"> Prahy schválil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 na svém jednání dne </w:t>
      </w:r>
      <w:r w:rsidR="00BC3FCD">
        <w:rPr>
          <w:rFonts w:ascii="Arial" w:hAnsi="Arial" w:cs="Arial"/>
          <w:color w:val="000000"/>
          <w:sz w:val="24"/>
          <w:szCs w:val="24"/>
        </w:rPr>
        <w:t>2</w:t>
      </w:r>
      <w:r w:rsidR="00355C6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355C61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 2016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 usnesení č. </w:t>
      </w:r>
      <w:r w:rsidR="00355C61">
        <w:rPr>
          <w:rFonts w:ascii="Arial" w:hAnsi="Arial" w:cs="Arial"/>
          <w:color w:val="000000"/>
          <w:sz w:val="24"/>
          <w:szCs w:val="24"/>
        </w:rPr>
        <w:t>126</w:t>
      </w:r>
      <w:r w:rsidR="00C954A2">
        <w:rPr>
          <w:rFonts w:ascii="Arial" w:hAnsi="Arial" w:cs="Arial"/>
          <w:color w:val="000000"/>
          <w:sz w:val="24"/>
          <w:szCs w:val="24"/>
        </w:rPr>
        <w:t>1</w:t>
      </w:r>
      <w:r w:rsidR="00AC274B">
        <w:rPr>
          <w:rFonts w:ascii="Arial" w:hAnsi="Arial" w:cs="Arial"/>
          <w:color w:val="000000"/>
          <w:sz w:val="24"/>
          <w:szCs w:val="24"/>
        </w:rPr>
        <w:t xml:space="preserve">, </w:t>
      </w:r>
      <w:r w:rsidR="00C954A2">
        <w:rPr>
          <w:rFonts w:ascii="Arial" w:hAnsi="Arial" w:cs="Arial"/>
          <w:color w:val="000000"/>
          <w:sz w:val="24"/>
          <w:szCs w:val="24"/>
        </w:rPr>
        <w:t xml:space="preserve">kterým schválila přidělení finančních prostředků MČ Praha 20 formou účelové neinvestiční dotace ze SR z MPSV 1. Splátka na úhradu nákladů vzniklých v souvislosti s výkonem sociálně-právní ochrany dětí pro rok 2016 ve výši 1.625.000 Kč, rozhodnutí o poskytnutí dotace pro rok 2016 </w:t>
      </w:r>
      <w:proofErr w:type="gramStart"/>
      <w:r w:rsidR="00C954A2">
        <w:rPr>
          <w:rFonts w:ascii="Arial" w:hAnsi="Arial" w:cs="Arial"/>
          <w:color w:val="000000"/>
          <w:sz w:val="24"/>
          <w:szCs w:val="24"/>
        </w:rPr>
        <w:t>č.j.</w:t>
      </w:r>
      <w:proofErr w:type="gramEnd"/>
      <w:r w:rsidR="00C954A2">
        <w:rPr>
          <w:rFonts w:ascii="Arial" w:hAnsi="Arial" w:cs="Arial"/>
          <w:color w:val="000000"/>
          <w:sz w:val="24"/>
          <w:szCs w:val="24"/>
        </w:rPr>
        <w:t xml:space="preserve"> 2016/13129-231 ze dne 18.3.2016. Čerpání dotace se řídí schválenou Metodikou MPSV pro poskytování dotací ze SR obcím s rozšířenou působností a hl. m. Praze na výkon agendy sociálně-právní ochrany dětí pro rok 2016, která byla schválena jako příkaz ministra práce a sociálních věcí č. 28/2015 ze dne </w:t>
      </w:r>
      <w:proofErr w:type="gramStart"/>
      <w:r w:rsidR="00C954A2">
        <w:rPr>
          <w:rFonts w:ascii="Arial" w:hAnsi="Arial" w:cs="Arial"/>
          <w:color w:val="000000"/>
          <w:sz w:val="24"/>
          <w:szCs w:val="24"/>
        </w:rPr>
        <w:t>7.12.2015</w:t>
      </w:r>
      <w:proofErr w:type="gramEnd"/>
      <w:r w:rsidR="00C954A2">
        <w:rPr>
          <w:rFonts w:ascii="Arial" w:hAnsi="Arial" w:cs="Arial"/>
          <w:color w:val="000000"/>
          <w:sz w:val="24"/>
          <w:szCs w:val="24"/>
        </w:rPr>
        <w:t>.</w:t>
      </w:r>
    </w:p>
    <w:p w:rsidR="00C954A2" w:rsidRDefault="00C954A2" w:rsidP="00BC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54A2" w:rsidRDefault="00C954A2" w:rsidP="00BC3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Stejným usnesením bylo schváleno poskytnutí účelové neinvestiční dotace ze SR z MPSV ve výši 411.564,78 Kč na pokrytí výdajů souvisejících se zabezpečením činností vykonávaných v oblasti sociálně-právní ochrany dětí v roce 2015. Zvýšení rozpočtu o částku 411.600 Kč. MPSV uvolnilo účelové finanční prostředky Rozhodnutím o poskytnutí doplatku neinvestiční účelové dotace ze SR roku 2016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č.j.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2016/73877-231 ze dne 19. 4. 2016. Dotace je určena na pokrytí rozdílu mezi skutečnými výdaji vzniklými v souvislosti s výkonem činnosti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SPOD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 roce 2015 a dotací, která byla v roce 2015 poskytnuta pod ÚZ 13011. Tento příjem je dán do rezervy odboru ekonomického na pokrytí případného rozdílu úhrady nákladů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SPOD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 rok 2016, které by byly nad rámec poskytnuté dotace. V roce 2015 činil </w:t>
      </w:r>
      <w:r w:rsidR="009A7FD6">
        <w:rPr>
          <w:rFonts w:ascii="Arial" w:hAnsi="Arial" w:cs="Arial"/>
          <w:color w:val="000000"/>
          <w:sz w:val="24"/>
          <w:szCs w:val="24"/>
        </w:rPr>
        <w:t>doplatek za rok 2014 610.900 Kč.</w:t>
      </w:r>
    </w:p>
    <w:p w:rsidR="009A7FD6" w:rsidRDefault="009A7FD6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671D" w:rsidRDefault="00107B52" w:rsidP="00175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Rozpočtové opatření bude provedeno pod číslem dokladu </w:t>
      </w:r>
      <w:r w:rsidR="00917E4F">
        <w:rPr>
          <w:rFonts w:ascii="Arial" w:hAnsi="Arial" w:cs="Arial"/>
          <w:color w:val="000000"/>
          <w:sz w:val="24"/>
          <w:szCs w:val="24"/>
        </w:rPr>
        <w:t>20</w:t>
      </w:r>
      <w:r w:rsidR="00355C61">
        <w:rPr>
          <w:rFonts w:ascii="Arial" w:hAnsi="Arial" w:cs="Arial"/>
          <w:color w:val="000000"/>
          <w:sz w:val="24"/>
          <w:szCs w:val="24"/>
        </w:rPr>
        <w:t>46</w:t>
      </w:r>
      <w:r w:rsidR="00917E4F">
        <w:rPr>
          <w:rFonts w:ascii="Arial" w:hAnsi="Arial" w:cs="Arial"/>
          <w:color w:val="000000"/>
          <w:sz w:val="24"/>
          <w:szCs w:val="24"/>
        </w:rPr>
        <w:t xml:space="preserve">. Celková výše rozpočtového opatření </w:t>
      </w:r>
      <w:r w:rsidR="009A7FD6">
        <w:rPr>
          <w:rFonts w:ascii="Arial" w:hAnsi="Arial" w:cs="Arial"/>
          <w:color w:val="000000"/>
          <w:sz w:val="24"/>
          <w:szCs w:val="24"/>
        </w:rPr>
        <w:t>2.036.600</w:t>
      </w:r>
      <w:r w:rsidR="00917E4F">
        <w:rPr>
          <w:rFonts w:ascii="Arial" w:hAnsi="Arial" w:cs="Arial"/>
          <w:color w:val="000000"/>
          <w:sz w:val="24"/>
          <w:szCs w:val="24"/>
        </w:rPr>
        <w:t xml:space="preserve"> Kč.</w:t>
      </w:r>
    </w:p>
    <w:p w:rsidR="00107B52" w:rsidRDefault="00107B52"/>
    <w:p w:rsidR="001F2432" w:rsidRDefault="002F7214" w:rsidP="001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7B52">
        <w:rPr>
          <w:rFonts w:ascii="Arial" w:hAnsi="Arial" w:cs="Arial"/>
          <w:color w:val="000000"/>
          <w:sz w:val="24"/>
          <w:szCs w:val="24"/>
        </w:rPr>
        <w:t xml:space="preserve">Celkové navýšení příjmů o </w:t>
      </w:r>
      <w:r w:rsidR="009A7FD6">
        <w:rPr>
          <w:rFonts w:ascii="Arial" w:hAnsi="Arial" w:cs="Arial"/>
          <w:color w:val="000000"/>
          <w:sz w:val="24"/>
          <w:szCs w:val="24"/>
        </w:rPr>
        <w:t>2.036.600</w:t>
      </w:r>
      <w:r w:rsidR="00AC274B">
        <w:rPr>
          <w:rFonts w:ascii="Arial" w:hAnsi="Arial" w:cs="Arial"/>
          <w:color w:val="000000"/>
          <w:sz w:val="24"/>
          <w:szCs w:val="24"/>
        </w:rPr>
        <w:t xml:space="preserve"> Kč</w:t>
      </w:r>
      <w:r w:rsidRPr="00107B52">
        <w:rPr>
          <w:rFonts w:ascii="Arial" w:hAnsi="Arial" w:cs="Arial"/>
          <w:color w:val="000000"/>
          <w:sz w:val="24"/>
          <w:szCs w:val="24"/>
        </w:rPr>
        <w:t xml:space="preserve">, celkové navýšení </w:t>
      </w:r>
      <w:r w:rsidR="0025439D">
        <w:rPr>
          <w:rFonts w:ascii="Arial" w:hAnsi="Arial" w:cs="Arial"/>
          <w:color w:val="000000"/>
          <w:sz w:val="24"/>
          <w:szCs w:val="24"/>
        </w:rPr>
        <w:t>běžných</w:t>
      </w:r>
      <w:r w:rsidR="0082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827219" w:rsidRPr="00107B52">
        <w:rPr>
          <w:rFonts w:ascii="Arial" w:hAnsi="Arial" w:cs="Arial"/>
          <w:color w:val="000000"/>
          <w:sz w:val="24"/>
          <w:szCs w:val="24"/>
        </w:rPr>
        <w:t>výdajů</w:t>
      </w:r>
      <w:r w:rsidRPr="00107B52">
        <w:rPr>
          <w:rFonts w:ascii="Arial" w:hAnsi="Arial" w:cs="Arial"/>
          <w:color w:val="000000"/>
          <w:sz w:val="24"/>
          <w:szCs w:val="24"/>
        </w:rPr>
        <w:t xml:space="preserve"> o </w:t>
      </w:r>
      <w:r w:rsidR="009A7FD6">
        <w:rPr>
          <w:rFonts w:ascii="Arial" w:hAnsi="Arial" w:cs="Arial"/>
          <w:color w:val="000000"/>
          <w:sz w:val="24"/>
          <w:szCs w:val="24"/>
        </w:rPr>
        <w:t>2.036.600 Kč.</w:t>
      </w:r>
    </w:p>
    <w:p w:rsidR="00917E4F" w:rsidRDefault="00917E4F" w:rsidP="00107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2432" w:rsidRDefault="001F2432"/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9A7FD6" w:rsidRPr="009A7FD6" w:rsidTr="009A7FD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7FD6" w:rsidRPr="009A7FD6" w:rsidTr="009A7FD6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7FD6" w:rsidRPr="009A7FD6" w:rsidTr="009A7FD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165 080 020,00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252 140 320,00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7FD6" w:rsidRPr="009A7FD6" w:rsidTr="009A7FD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A7FD6" w:rsidRPr="009A7FD6" w:rsidRDefault="009A7FD6" w:rsidP="009A7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9A7F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107B52" w:rsidRDefault="00107B52"/>
    <w:sectPr w:rsidR="0010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107B52"/>
    <w:rsid w:val="00175475"/>
    <w:rsid w:val="001B6E27"/>
    <w:rsid w:val="001F2432"/>
    <w:rsid w:val="0025439D"/>
    <w:rsid w:val="00270EEC"/>
    <w:rsid w:val="002F7214"/>
    <w:rsid w:val="00355C61"/>
    <w:rsid w:val="0036407B"/>
    <w:rsid w:val="003F2CB0"/>
    <w:rsid w:val="004D15D3"/>
    <w:rsid w:val="00540A30"/>
    <w:rsid w:val="006C63DA"/>
    <w:rsid w:val="006D6EE9"/>
    <w:rsid w:val="00745BAB"/>
    <w:rsid w:val="00827219"/>
    <w:rsid w:val="00853246"/>
    <w:rsid w:val="008926B3"/>
    <w:rsid w:val="00892798"/>
    <w:rsid w:val="008E671D"/>
    <w:rsid w:val="00917E4F"/>
    <w:rsid w:val="009A7FD6"/>
    <w:rsid w:val="00A03FED"/>
    <w:rsid w:val="00AC274B"/>
    <w:rsid w:val="00BA649B"/>
    <w:rsid w:val="00BC3FCD"/>
    <w:rsid w:val="00C954A2"/>
    <w:rsid w:val="00CD1E99"/>
    <w:rsid w:val="00D461A6"/>
    <w:rsid w:val="00E229AE"/>
    <w:rsid w:val="00E24EAB"/>
    <w:rsid w:val="00E30CC9"/>
    <w:rsid w:val="00E41111"/>
    <w:rsid w:val="00E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2016-05-31T15:46:00Z</cp:lastPrinted>
  <dcterms:created xsi:type="dcterms:W3CDTF">2016-05-31T15:28:00Z</dcterms:created>
  <dcterms:modified xsi:type="dcterms:W3CDTF">2016-05-31T15:46:00Z</dcterms:modified>
</cp:coreProperties>
</file>