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601F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Rozpočtové opatření schvalované RMČ na rok 2016 č. </w:t>
      </w:r>
      <w:r w:rsidR="00BC3FC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A8601F"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A8601F">
        <w:rPr>
          <w:rFonts w:ascii="Arial" w:hAnsi="Arial" w:cs="Arial"/>
          <w:b/>
          <w:bCs/>
          <w:color w:val="000000"/>
          <w:sz w:val="24"/>
          <w:szCs w:val="24"/>
        </w:rPr>
        <w:t xml:space="preserve"> přijaté investiční transfery poskytnuté v rámci Operačního programu Životní prostředí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07B52">
        <w:rPr>
          <w:rFonts w:ascii="Arial" w:hAnsi="Arial" w:cs="Arial"/>
          <w:color w:val="000000"/>
          <w:sz w:val="24"/>
          <w:szCs w:val="24"/>
        </w:rPr>
        <w:t xml:space="preserve">usnesení </w:t>
      </w:r>
      <w:r w:rsidR="00FF0FDA">
        <w:rPr>
          <w:rFonts w:ascii="Arial" w:hAnsi="Arial" w:cs="Arial"/>
          <w:color w:val="000000"/>
          <w:sz w:val="24"/>
          <w:szCs w:val="24"/>
        </w:rPr>
        <w:t>RM</w:t>
      </w:r>
      <w:r w:rsidR="00A8601F">
        <w:rPr>
          <w:rFonts w:ascii="Arial" w:hAnsi="Arial" w:cs="Arial"/>
          <w:color w:val="000000"/>
          <w:sz w:val="24"/>
          <w:szCs w:val="24"/>
        </w:rPr>
        <w:t>HP</w:t>
      </w:r>
      <w:r w:rsidR="00FF0FDA">
        <w:rPr>
          <w:rFonts w:ascii="Arial" w:hAnsi="Arial" w:cs="Arial"/>
          <w:color w:val="000000"/>
          <w:sz w:val="24"/>
          <w:szCs w:val="24"/>
        </w:rPr>
        <w:t xml:space="preserve"> č. </w:t>
      </w:r>
      <w:r w:rsidR="00A8601F">
        <w:rPr>
          <w:rFonts w:ascii="Arial" w:hAnsi="Arial" w:cs="Arial"/>
          <w:color w:val="000000"/>
          <w:sz w:val="24"/>
          <w:szCs w:val="24"/>
        </w:rPr>
        <w:t xml:space="preserve">1335 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21</w:t>
      </w:r>
      <w:r w:rsidR="00355C61">
        <w:rPr>
          <w:rFonts w:ascii="Arial" w:hAnsi="Arial" w:cs="Arial"/>
          <w:color w:val="000000"/>
          <w:sz w:val="24"/>
          <w:szCs w:val="24"/>
        </w:rPr>
        <w:t>. 6.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07B52" w:rsidRDefault="00FF0FDA" w:rsidP="00A8601F">
      <w:pPr>
        <w:rPr>
          <w:rFonts w:ascii="Arial" w:hAnsi="Arial" w:cs="Arial"/>
          <w:sz w:val="24"/>
          <w:szCs w:val="24"/>
        </w:rPr>
      </w:pPr>
      <w:r w:rsidRPr="00D26DCF">
        <w:rPr>
          <w:rFonts w:ascii="Arial" w:hAnsi="Arial" w:cs="Arial"/>
          <w:sz w:val="24"/>
          <w:szCs w:val="24"/>
        </w:rPr>
        <w:t xml:space="preserve">Rada </w:t>
      </w:r>
      <w:r w:rsidR="00A8601F">
        <w:rPr>
          <w:rFonts w:ascii="Arial" w:hAnsi="Arial" w:cs="Arial"/>
          <w:sz w:val="24"/>
          <w:szCs w:val="24"/>
        </w:rPr>
        <w:t>hl. m. Prahy</w:t>
      </w:r>
      <w:r w:rsidRPr="00D26DCF">
        <w:rPr>
          <w:rFonts w:ascii="Arial" w:hAnsi="Arial" w:cs="Arial"/>
          <w:sz w:val="24"/>
          <w:szCs w:val="24"/>
        </w:rPr>
        <w:t xml:space="preserve"> schválila na svém jednání dne </w:t>
      </w:r>
      <w:r w:rsidR="00A8601F">
        <w:rPr>
          <w:rFonts w:ascii="Arial" w:hAnsi="Arial" w:cs="Arial"/>
          <w:sz w:val="24"/>
          <w:szCs w:val="24"/>
        </w:rPr>
        <w:t>31. 5. 2016</w:t>
      </w:r>
      <w:r w:rsidRPr="00D26DCF">
        <w:rPr>
          <w:rFonts w:ascii="Arial" w:hAnsi="Arial" w:cs="Arial"/>
          <w:sz w:val="24"/>
          <w:szCs w:val="24"/>
        </w:rPr>
        <w:t xml:space="preserve"> č. usnesení </w:t>
      </w:r>
      <w:r w:rsidR="00A8601F">
        <w:rPr>
          <w:rFonts w:ascii="Arial" w:hAnsi="Arial" w:cs="Arial"/>
          <w:sz w:val="24"/>
          <w:szCs w:val="24"/>
        </w:rPr>
        <w:t>1335, který</w:t>
      </w:r>
      <w:r w:rsidR="00B746EE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A8601F">
        <w:rPr>
          <w:rFonts w:ascii="Arial" w:hAnsi="Arial" w:cs="Arial"/>
          <w:sz w:val="24"/>
          <w:szCs w:val="24"/>
        </w:rPr>
        <w:t xml:space="preserve"> byl navýšen rozpočet MČ Praha 20 v celkové výši 3.216,60 tis. Kč. Rozpočet byl navýšen o přijaté neinvestiční transfery poskytnuté v rámci Operačního programu Životní prostředí (prioritní osa 3 – Udržitelné využívání zdrojů energie, oblast podpory 3.2 – Realizace úspor energie a využití odpadního tepla). Finanční prostředky jsou účelově určeny na projekt „EU – DDM Horní Počernice – snížení energetické náročnosti“, výše poskytnutého transferu 1.429.335 Kč, rozpočtové opatření ve výši 1.429.300 Kč a na projekt „ EU – MŠ Chodovická – snížení energetické náročnosti“ výše poskytnutého transferu 1.787.265 Kč, rozpočtové opatření ve výši 1.787.300 Kč.</w:t>
      </w:r>
    </w:p>
    <w:p w:rsidR="00A8601F" w:rsidRDefault="00A8601F" w:rsidP="00A86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bude provedeno pod číslem dokladu 2052 a označeno příslušnými účelovými znaky. Městská část jakožto příjemce podpory v rámci OPŽP musí dodržovat veškeré povinnosti a podmínky uvedené v rozhodnutí MŽP o poskytnutí dotace.</w:t>
      </w:r>
    </w:p>
    <w:p w:rsidR="00A8601F" w:rsidRDefault="00BB1A12" w:rsidP="00A8601F">
      <w:r w:rsidRPr="00BB1A12">
        <w:rPr>
          <w:noProof/>
          <w:lang w:eastAsia="cs-CZ"/>
        </w:rPr>
        <w:drawing>
          <wp:inline distT="0" distB="0" distL="0" distR="0" wp14:anchorId="596DDB89" wp14:editId="668BEBA9">
            <wp:extent cx="5760720" cy="1423531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12" w:rsidRPr="00BB1A12" w:rsidRDefault="00BB1A12" w:rsidP="00A8601F">
      <w:pPr>
        <w:rPr>
          <w:rFonts w:ascii="Arial" w:hAnsi="Arial" w:cs="Arial"/>
          <w:sz w:val="24"/>
          <w:szCs w:val="24"/>
        </w:rPr>
      </w:pPr>
      <w:r w:rsidRPr="00BB1A12">
        <w:rPr>
          <w:rFonts w:ascii="Arial" w:hAnsi="Arial" w:cs="Arial"/>
          <w:sz w:val="24"/>
          <w:szCs w:val="24"/>
        </w:rPr>
        <w:t>Celkové příjmy a výdaje jsou navýšeny o 3.216.600 Kč a činí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BB1A12" w:rsidRPr="00BB1A12" w:rsidTr="00BB1A12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1A12" w:rsidRPr="00BB1A12" w:rsidRDefault="00BB1A12" w:rsidP="00BB1A12">
            <w:pPr>
              <w:rPr>
                <w:rFonts w:ascii="Arial" w:hAnsi="Arial" w:cs="Arial"/>
                <w:sz w:val="24"/>
                <w:szCs w:val="24"/>
              </w:rPr>
            </w:pPr>
            <w:r w:rsidRPr="00BB1A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1A12" w:rsidRPr="00BB1A12" w:rsidRDefault="00BB1A12" w:rsidP="00BB1A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BB1A12">
              <w:rPr>
                <w:rFonts w:ascii="Arial" w:hAnsi="Arial" w:cs="Arial"/>
                <w:sz w:val="24"/>
                <w:szCs w:val="24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1A12" w:rsidRPr="00BB1A12" w:rsidRDefault="00BB1A12" w:rsidP="00BB1A12">
            <w:pPr>
              <w:rPr>
                <w:rFonts w:ascii="Arial" w:hAnsi="Arial" w:cs="Arial"/>
                <w:sz w:val="24"/>
                <w:szCs w:val="24"/>
              </w:rPr>
            </w:pPr>
            <w:r w:rsidRPr="00BB1A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1A12" w:rsidRPr="00BB1A12" w:rsidTr="00BB1A12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1A12" w:rsidRPr="00BB1A12" w:rsidRDefault="00BB1A12" w:rsidP="00BB1A12">
            <w:pPr>
              <w:rPr>
                <w:rFonts w:ascii="Arial" w:hAnsi="Arial" w:cs="Arial"/>
                <w:sz w:val="24"/>
                <w:szCs w:val="24"/>
              </w:rPr>
            </w:pPr>
            <w:r w:rsidRPr="00BB1A12">
              <w:rPr>
                <w:rFonts w:ascii="Arial" w:hAnsi="Arial" w:cs="Arial"/>
                <w:sz w:val="24"/>
                <w:szCs w:val="24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1A12" w:rsidRPr="00BB1A12" w:rsidRDefault="00BB1A12" w:rsidP="00BB1A12">
            <w:pPr>
              <w:rPr>
                <w:rFonts w:ascii="Arial" w:hAnsi="Arial" w:cs="Arial"/>
                <w:sz w:val="24"/>
                <w:szCs w:val="24"/>
              </w:rPr>
            </w:pPr>
            <w:r w:rsidRPr="00BB1A12">
              <w:rPr>
                <w:rFonts w:ascii="Arial" w:hAnsi="Arial" w:cs="Arial"/>
                <w:sz w:val="24"/>
                <w:szCs w:val="24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1A12" w:rsidRPr="00BB1A12" w:rsidRDefault="00BB1A12" w:rsidP="00BB1A12">
            <w:pPr>
              <w:rPr>
                <w:rFonts w:ascii="Arial" w:hAnsi="Arial" w:cs="Arial"/>
                <w:sz w:val="24"/>
                <w:szCs w:val="24"/>
              </w:rPr>
            </w:pPr>
            <w:r w:rsidRPr="00BB1A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1A12" w:rsidRPr="00BB1A12" w:rsidTr="00BB1A12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1A12" w:rsidRPr="00BB1A12" w:rsidRDefault="00BB1A12" w:rsidP="00BB1A12">
            <w:pPr>
              <w:rPr>
                <w:rFonts w:ascii="Arial" w:hAnsi="Arial" w:cs="Arial"/>
                <w:sz w:val="24"/>
                <w:szCs w:val="24"/>
              </w:rPr>
            </w:pPr>
            <w:r w:rsidRPr="00BB1A12">
              <w:rPr>
                <w:rFonts w:ascii="Arial" w:hAnsi="Arial" w:cs="Arial"/>
                <w:sz w:val="24"/>
                <w:szCs w:val="24"/>
              </w:rPr>
              <w:t>168 341 620,00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1A12" w:rsidRPr="00BB1A12" w:rsidRDefault="00BB1A12" w:rsidP="00BB1A12">
            <w:pPr>
              <w:rPr>
                <w:rFonts w:ascii="Arial" w:hAnsi="Arial" w:cs="Arial"/>
                <w:sz w:val="24"/>
                <w:szCs w:val="24"/>
              </w:rPr>
            </w:pPr>
            <w:r w:rsidRPr="00BB1A12">
              <w:rPr>
                <w:rFonts w:ascii="Arial" w:hAnsi="Arial" w:cs="Arial"/>
                <w:sz w:val="24"/>
                <w:szCs w:val="24"/>
              </w:rPr>
              <w:t>255 401 920,00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1A12" w:rsidRPr="00BB1A12" w:rsidRDefault="00BB1A12" w:rsidP="00BB1A12">
            <w:pPr>
              <w:rPr>
                <w:rFonts w:ascii="Arial" w:hAnsi="Arial" w:cs="Arial"/>
                <w:sz w:val="24"/>
                <w:szCs w:val="24"/>
              </w:rPr>
            </w:pPr>
            <w:r w:rsidRPr="00BB1A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1A12" w:rsidRPr="00BB1A12" w:rsidTr="00BB1A12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12" w:rsidRPr="00BB1A12" w:rsidRDefault="00BB1A12" w:rsidP="00BB1A12">
            <w:pPr>
              <w:rPr>
                <w:rFonts w:ascii="Arial" w:hAnsi="Arial" w:cs="Arial"/>
                <w:sz w:val="24"/>
                <w:szCs w:val="24"/>
              </w:rPr>
            </w:pPr>
            <w:r w:rsidRPr="00BB1A12">
              <w:rPr>
                <w:rFonts w:ascii="Arial" w:hAnsi="Arial" w:cs="Arial"/>
                <w:sz w:val="24"/>
                <w:szCs w:val="24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1A12" w:rsidRPr="00BB1A12" w:rsidRDefault="00BB1A12" w:rsidP="00BB1A12">
            <w:pPr>
              <w:rPr>
                <w:rFonts w:ascii="Arial" w:hAnsi="Arial" w:cs="Arial"/>
                <w:sz w:val="24"/>
                <w:szCs w:val="24"/>
              </w:rPr>
            </w:pPr>
            <w:r w:rsidRPr="00BB1A12">
              <w:rPr>
                <w:rFonts w:ascii="Arial" w:hAnsi="Arial" w:cs="Arial"/>
                <w:sz w:val="24"/>
                <w:szCs w:val="24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B1A12" w:rsidRPr="00BB1A12" w:rsidRDefault="00BB1A12" w:rsidP="00BB1A12">
            <w:pPr>
              <w:rPr>
                <w:rFonts w:ascii="Arial" w:hAnsi="Arial" w:cs="Arial"/>
                <w:sz w:val="24"/>
                <w:szCs w:val="24"/>
              </w:rPr>
            </w:pPr>
            <w:r w:rsidRPr="00BB1A12">
              <w:rPr>
                <w:rFonts w:ascii="Arial" w:hAnsi="Arial" w:cs="Arial"/>
                <w:sz w:val="24"/>
                <w:szCs w:val="24"/>
              </w:rPr>
              <w:t>se nemění.</w:t>
            </w:r>
          </w:p>
        </w:tc>
      </w:tr>
    </w:tbl>
    <w:p w:rsidR="00BB1A12" w:rsidRDefault="00BB1A12" w:rsidP="00A8601F"/>
    <w:sectPr w:rsidR="00BB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A2E4C"/>
    <w:rsid w:val="00107B52"/>
    <w:rsid w:val="00175475"/>
    <w:rsid w:val="001B6E27"/>
    <w:rsid w:val="001F2432"/>
    <w:rsid w:val="0025439D"/>
    <w:rsid w:val="00270EEC"/>
    <w:rsid w:val="002F7214"/>
    <w:rsid w:val="00355C61"/>
    <w:rsid w:val="0036407B"/>
    <w:rsid w:val="003F2CB0"/>
    <w:rsid w:val="004D15D3"/>
    <w:rsid w:val="00537FB6"/>
    <w:rsid w:val="00540A30"/>
    <w:rsid w:val="006C63DA"/>
    <w:rsid w:val="006D6EE9"/>
    <w:rsid w:val="00745BAB"/>
    <w:rsid w:val="00827219"/>
    <w:rsid w:val="00853246"/>
    <w:rsid w:val="008926B3"/>
    <w:rsid w:val="00892798"/>
    <w:rsid w:val="008E15F2"/>
    <w:rsid w:val="008E671D"/>
    <w:rsid w:val="00917E4F"/>
    <w:rsid w:val="009A7FD6"/>
    <w:rsid w:val="00A03FED"/>
    <w:rsid w:val="00A8601F"/>
    <w:rsid w:val="00AC274B"/>
    <w:rsid w:val="00B746EE"/>
    <w:rsid w:val="00BA649B"/>
    <w:rsid w:val="00BB1A12"/>
    <w:rsid w:val="00BC3FCD"/>
    <w:rsid w:val="00C954A2"/>
    <w:rsid w:val="00CD1E99"/>
    <w:rsid w:val="00D26DCF"/>
    <w:rsid w:val="00D461A6"/>
    <w:rsid w:val="00E229AE"/>
    <w:rsid w:val="00E24EAB"/>
    <w:rsid w:val="00E30CC9"/>
    <w:rsid w:val="00E41111"/>
    <w:rsid w:val="00EB167F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5</cp:revision>
  <cp:lastPrinted>2016-05-31T15:46:00Z</cp:lastPrinted>
  <dcterms:created xsi:type="dcterms:W3CDTF">2016-06-13T14:28:00Z</dcterms:created>
  <dcterms:modified xsi:type="dcterms:W3CDTF">2016-06-14T08:28:00Z</dcterms:modified>
</cp:coreProperties>
</file>