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254E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54ED">
        <w:rPr>
          <w:rFonts w:ascii="Arial" w:hAnsi="Arial" w:cs="Arial"/>
          <w:b/>
          <w:bCs/>
          <w:color w:val="000000"/>
          <w:sz w:val="24"/>
          <w:szCs w:val="24"/>
        </w:rPr>
        <w:t xml:space="preserve">přesun obdržené dotace z OPŽP (DDM a MŠ Chodovická) do investiční rezervy, uvolnění </w:t>
      </w:r>
      <w:proofErr w:type="spellStart"/>
      <w:r w:rsidR="00F254ED">
        <w:rPr>
          <w:rFonts w:ascii="Arial" w:hAnsi="Arial" w:cs="Arial"/>
          <w:b/>
          <w:bCs/>
          <w:color w:val="000000"/>
          <w:sz w:val="24"/>
          <w:szCs w:val="24"/>
        </w:rPr>
        <w:t>vl</w:t>
      </w:r>
      <w:proofErr w:type="spellEnd"/>
      <w:r w:rsidR="00F254ED">
        <w:rPr>
          <w:rFonts w:ascii="Arial" w:hAnsi="Arial" w:cs="Arial"/>
          <w:b/>
          <w:bCs/>
          <w:color w:val="000000"/>
          <w:sz w:val="24"/>
          <w:szCs w:val="24"/>
        </w:rPr>
        <w:t>. finančních prostředků z akce výměna podlahy v tělocvičně ZŠ Stoliňská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4ED">
        <w:rPr>
          <w:rFonts w:ascii="Arial" w:hAnsi="Arial" w:cs="Arial"/>
          <w:color w:val="000000"/>
          <w:sz w:val="24"/>
          <w:szCs w:val="24"/>
        </w:rPr>
        <w:t>obdržení dotace z OPŽD, obdržení dotace z VHP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4ED">
        <w:rPr>
          <w:rFonts w:ascii="Arial" w:hAnsi="Arial" w:cs="Arial"/>
          <w:color w:val="000000"/>
          <w:sz w:val="24"/>
          <w:szCs w:val="24"/>
        </w:rPr>
        <w:t>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21</w:t>
      </w:r>
      <w:r w:rsidR="00355C61">
        <w:rPr>
          <w:rFonts w:ascii="Arial" w:hAnsi="Arial" w:cs="Arial"/>
          <w:color w:val="000000"/>
          <w:sz w:val="24"/>
          <w:szCs w:val="24"/>
        </w:rPr>
        <w:t>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69C9" w:rsidRDefault="00EF69C9" w:rsidP="00A8601F">
      <w:pPr>
        <w:rPr>
          <w:rFonts w:ascii="Arial" w:hAnsi="Arial" w:cs="Arial"/>
          <w:sz w:val="24"/>
          <w:szCs w:val="24"/>
        </w:rPr>
      </w:pPr>
    </w:p>
    <w:p w:rsidR="00F254ED" w:rsidRDefault="00F254ED" w:rsidP="00F2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MČ Praha 20 obdržela dotaci z Operačního programu Životní prostředí (prioritní osa 3 – Udržitelné využívání zdrojů energie, oblast podpory 3.2 – Realizace úspor energie a využití odpadního tepla) na projekt „EU – DDM Horní Počernice – snížení energetické náročnosti“ a na projekt „ EU – MŠ Chodovická – snížení energetické náročnosti“. Finanční prostředky obdržené z OPŽP byly městskou částí Praha 20 uhrazeny z rozpočtu roku 2015, finanční prostředky byly obdrženy po skončení projektů zpětně. Celková výše obdržené dotace 3.216.600 Kč bude přesunuta do investiční rezervy MČ Praha 20.</w:t>
      </w:r>
    </w:p>
    <w:p w:rsidR="00F254ED" w:rsidRDefault="00F254ED" w:rsidP="00F2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MČ Praha 20 obdržela dotaci z MHMP z obdrženého odbodu z VHP a jiných technických zařízení na sport. Část finančních prostředků ve výši 173.000 Kč bude použito na akci výměna podlahy v ZŠ Stoliňské (100.000 Kč – již bylo přesunuto RO č. 51), část finančních prostředků ve výši 73.000 Kč je přesunuto na tuto akci touto rozpočtovou úpravou. Uvolněné vlastní finanční prostředky MČ Praha 20</w:t>
      </w:r>
      <w:r w:rsidR="00A47991">
        <w:rPr>
          <w:rFonts w:ascii="Arial" w:hAnsi="Arial" w:cs="Arial"/>
          <w:sz w:val="24"/>
          <w:szCs w:val="24"/>
        </w:rPr>
        <w:t xml:space="preserve"> ve výši 173.000 Kč</w:t>
      </w:r>
      <w:r>
        <w:rPr>
          <w:rFonts w:ascii="Arial" w:hAnsi="Arial" w:cs="Arial"/>
          <w:sz w:val="24"/>
          <w:szCs w:val="24"/>
        </w:rPr>
        <w:t xml:space="preserve"> budou přesunuty do rezervy RMČ. </w:t>
      </w:r>
    </w:p>
    <w:p w:rsidR="00F254ED" w:rsidRDefault="00AC26AE" w:rsidP="00A8601F">
      <w:pPr>
        <w:rPr>
          <w:rFonts w:ascii="Arial" w:hAnsi="Arial" w:cs="Arial"/>
          <w:sz w:val="24"/>
          <w:szCs w:val="24"/>
        </w:rPr>
      </w:pPr>
      <w:r w:rsidRPr="00AC26AE">
        <w:drawing>
          <wp:inline distT="0" distB="0" distL="0" distR="0" wp14:anchorId="20CFBC36" wp14:editId="5C7419A4">
            <wp:extent cx="5760720" cy="15650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A12" w:rsidRPr="00BB1A12" w:rsidRDefault="00BB1A12" w:rsidP="00A8601F">
      <w:pPr>
        <w:rPr>
          <w:rFonts w:ascii="Arial" w:hAnsi="Arial" w:cs="Arial"/>
          <w:sz w:val="24"/>
          <w:szCs w:val="24"/>
        </w:rPr>
      </w:pPr>
      <w:r w:rsidRPr="00BB1A12">
        <w:rPr>
          <w:rFonts w:ascii="Arial" w:hAnsi="Arial" w:cs="Arial"/>
          <w:sz w:val="24"/>
          <w:szCs w:val="24"/>
        </w:rPr>
        <w:t xml:space="preserve">Celkové příjmy a výdaje </w:t>
      </w:r>
      <w:r w:rsidR="00AB75C9">
        <w:rPr>
          <w:rFonts w:ascii="Arial" w:hAnsi="Arial" w:cs="Arial"/>
          <w:sz w:val="24"/>
          <w:szCs w:val="24"/>
        </w:rPr>
        <w:t>se nemění a činí: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A90179" w:rsidRPr="00A90179" w:rsidTr="00A90179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90179" w:rsidRPr="00A90179" w:rsidTr="00A90179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90179" w:rsidRPr="00A90179" w:rsidTr="00A9017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170 665 120,00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257 725 420,00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90179" w:rsidRPr="00A90179" w:rsidTr="00A9017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 nemění</w:t>
            </w:r>
            <w:proofErr w:type="gramEnd"/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</w:tr>
    </w:tbl>
    <w:p w:rsidR="00BB1A12" w:rsidRDefault="00BB1A12" w:rsidP="00D404D8"/>
    <w:sectPr w:rsidR="00BB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0A5ECB"/>
    <w:rsid w:val="00107B52"/>
    <w:rsid w:val="00175475"/>
    <w:rsid w:val="001B6E27"/>
    <w:rsid w:val="001F227B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583238"/>
    <w:rsid w:val="005E6987"/>
    <w:rsid w:val="006C63DA"/>
    <w:rsid w:val="006D6EE9"/>
    <w:rsid w:val="0073039F"/>
    <w:rsid w:val="00745019"/>
    <w:rsid w:val="00745BAB"/>
    <w:rsid w:val="00827219"/>
    <w:rsid w:val="00853246"/>
    <w:rsid w:val="008926B3"/>
    <w:rsid w:val="00892798"/>
    <w:rsid w:val="008E15F2"/>
    <w:rsid w:val="008E671D"/>
    <w:rsid w:val="00917E4F"/>
    <w:rsid w:val="009A7FD6"/>
    <w:rsid w:val="00A03FED"/>
    <w:rsid w:val="00A47991"/>
    <w:rsid w:val="00A8601F"/>
    <w:rsid w:val="00A90179"/>
    <w:rsid w:val="00AB75C9"/>
    <w:rsid w:val="00AC26AE"/>
    <w:rsid w:val="00AC274B"/>
    <w:rsid w:val="00BA649B"/>
    <w:rsid w:val="00BB1A12"/>
    <w:rsid w:val="00BC3FCD"/>
    <w:rsid w:val="00BF3DEE"/>
    <w:rsid w:val="00C15A27"/>
    <w:rsid w:val="00C954A2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75D94"/>
    <w:rsid w:val="00E97948"/>
    <w:rsid w:val="00EB167F"/>
    <w:rsid w:val="00EF69C9"/>
    <w:rsid w:val="00F254ED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2016-06-15T09:43:00Z</cp:lastPrinted>
  <dcterms:created xsi:type="dcterms:W3CDTF">2016-06-15T11:49:00Z</dcterms:created>
  <dcterms:modified xsi:type="dcterms:W3CDTF">2016-06-15T12:12:00Z</dcterms:modified>
</cp:coreProperties>
</file>