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B3BD" w14:textId="77777777" w:rsidR="00583430" w:rsidRDefault="00583430" w:rsidP="00583430">
      <w:pPr>
        <w:pStyle w:val="Nadpis1"/>
      </w:pPr>
      <w:r>
        <w:t>Příloha č. 4 - Dodávka a implementace personálního informačního systému vč. následné technické podpory</w:t>
      </w:r>
    </w:p>
    <w:p w14:paraId="228F3DB1" w14:textId="77777777" w:rsidR="00583430" w:rsidRDefault="00583430" w:rsidP="00583430">
      <w:pPr>
        <w:pStyle w:val="Nadpis2"/>
      </w:pPr>
      <w:r>
        <w:t>Technická specifikace</w:t>
      </w:r>
      <w:r w:rsidR="0061340A">
        <w:t xml:space="preserve"> Objednatele</w:t>
      </w:r>
    </w:p>
    <w:p w14:paraId="6C3E7595" w14:textId="77777777" w:rsidR="00583430" w:rsidRDefault="00583430" w:rsidP="00583430">
      <w:pPr>
        <w:pStyle w:val="Citt"/>
      </w:pPr>
    </w:p>
    <w:p w14:paraId="3331BD81" w14:textId="77777777" w:rsidR="001F47FF" w:rsidRPr="00583430" w:rsidRDefault="001F47FF" w:rsidP="00583430">
      <w:pPr>
        <w:pStyle w:val="Citt"/>
      </w:pPr>
      <w:r w:rsidRPr="00583430">
        <w:t>Tabulka musí být vyplněna následovně: pro každý požadavek musí být vyplněno, zda nabízený produkt splňuje požadavek ve standardu (sloupec Splňuje ve standardu) nebo po specifické konfiguraci (sloup</w:t>
      </w:r>
      <w:r w:rsidR="002255F4">
        <w:t>ec</w:t>
      </w:r>
      <w:r w:rsidRPr="00583430">
        <w:t xml:space="preserve"> Specifická konfigurace</w:t>
      </w:r>
      <w:r w:rsidR="002255F4">
        <w:t>), tj. kdy je například nutné připojit modul subdodavatele.</w:t>
      </w:r>
    </w:p>
    <w:tbl>
      <w:tblPr>
        <w:tblStyle w:val="Mkatabulky"/>
        <w:tblW w:w="8525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329"/>
      </w:tblGrid>
      <w:tr w:rsidR="002255F4" w:rsidRPr="009D3B86" w14:paraId="0D7974F5" w14:textId="77777777" w:rsidTr="002255F4">
        <w:trPr>
          <w:trHeight w:val="600"/>
        </w:trPr>
        <w:tc>
          <w:tcPr>
            <w:tcW w:w="5920" w:type="dxa"/>
            <w:noWrap/>
            <w:hideMark/>
          </w:tcPr>
          <w:p w14:paraId="163FD8C1" w14:textId="77777777" w:rsidR="002255F4" w:rsidRPr="009D3B86" w:rsidRDefault="002255F4" w:rsidP="001F47FF">
            <w:pPr>
              <w:rPr>
                <w:b/>
                <w:bCs/>
                <w:i/>
                <w:iCs/>
              </w:rPr>
            </w:pPr>
            <w:r w:rsidRPr="009D3B86">
              <w:rPr>
                <w:b/>
                <w:bCs/>
                <w:i/>
                <w:iCs/>
              </w:rPr>
              <w:t>Všeobecné věcné požadavky:</w:t>
            </w:r>
          </w:p>
        </w:tc>
        <w:tc>
          <w:tcPr>
            <w:tcW w:w="1276" w:type="dxa"/>
            <w:hideMark/>
          </w:tcPr>
          <w:p w14:paraId="2A6B2441" w14:textId="77777777" w:rsidR="002255F4" w:rsidRPr="009D3B86" w:rsidRDefault="002255F4" w:rsidP="001F47FF">
            <w:pPr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 xml:space="preserve">Splňuje </w:t>
            </w:r>
            <w:r w:rsidRPr="009D3B86">
              <w:rPr>
                <w:b/>
                <w:bCs/>
                <w:i/>
                <w:iCs/>
                <w:sz w:val="18"/>
              </w:rPr>
              <w:t>ve standardu</w:t>
            </w:r>
          </w:p>
        </w:tc>
        <w:tc>
          <w:tcPr>
            <w:tcW w:w="1329" w:type="dxa"/>
            <w:hideMark/>
          </w:tcPr>
          <w:p w14:paraId="6B5A97AB" w14:textId="77777777" w:rsidR="002255F4" w:rsidRPr="009D3B86" w:rsidRDefault="002255F4" w:rsidP="001F47FF">
            <w:pPr>
              <w:rPr>
                <w:b/>
                <w:bCs/>
                <w:i/>
                <w:iCs/>
                <w:sz w:val="18"/>
              </w:rPr>
            </w:pPr>
            <w:r w:rsidRPr="009D3B86">
              <w:rPr>
                <w:b/>
                <w:bCs/>
                <w:i/>
                <w:iCs/>
                <w:sz w:val="18"/>
              </w:rPr>
              <w:t>specifická konfigurace</w:t>
            </w:r>
          </w:p>
        </w:tc>
      </w:tr>
      <w:tr w:rsidR="002255F4" w:rsidRPr="009D3B86" w14:paraId="30318080" w14:textId="77777777" w:rsidTr="002255F4">
        <w:trPr>
          <w:trHeight w:val="300"/>
        </w:trPr>
        <w:tc>
          <w:tcPr>
            <w:tcW w:w="5920" w:type="dxa"/>
            <w:hideMark/>
          </w:tcPr>
          <w:p w14:paraId="07889BF8" w14:textId="77777777" w:rsidR="002255F4" w:rsidRPr="00E37842" w:rsidRDefault="002255F4" w:rsidP="001F47FF">
            <w:pPr>
              <w:pStyle w:val="Bezmezer"/>
            </w:pPr>
            <w:r w:rsidRPr="00E37842">
              <w:t>soulad s českou legislativou</w:t>
            </w:r>
          </w:p>
        </w:tc>
        <w:tc>
          <w:tcPr>
            <w:tcW w:w="1276" w:type="dxa"/>
            <w:noWrap/>
          </w:tcPr>
          <w:p w14:paraId="1ED43F14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4F84AEC4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53A72865" w14:textId="77777777" w:rsidTr="002255F4">
        <w:trPr>
          <w:trHeight w:val="300"/>
        </w:trPr>
        <w:tc>
          <w:tcPr>
            <w:tcW w:w="5920" w:type="dxa"/>
          </w:tcPr>
          <w:p w14:paraId="761B8C88" w14:textId="77777777" w:rsidR="002255F4" w:rsidRPr="00E37842" w:rsidRDefault="002255F4" w:rsidP="00AE4002">
            <w:pPr>
              <w:pStyle w:val="Bezmezer"/>
            </w:pPr>
            <w:r w:rsidRPr="00E37842">
              <w:t xml:space="preserve">jedna společná databáze pro všechny </w:t>
            </w:r>
            <w:r>
              <w:t xml:space="preserve">poptávané </w:t>
            </w:r>
            <w:r w:rsidRPr="00E37842">
              <w:t>oblasti</w:t>
            </w:r>
          </w:p>
        </w:tc>
        <w:tc>
          <w:tcPr>
            <w:tcW w:w="1276" w:type="dxa"/>
            <w:noWrap/>
          </w:tcPr>
          <w:p w14:paraId="19EB3C0A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706AFE35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26982F75" w14:textId="77777777" w:rsidTr="002255F4">
        <w:trPr>
          <w:trHeight w:val="300"/>
        </w:trPr>
        <w:tc>
          <w:tcPr>
            <w:tcW w:w="5920" w:type="dxa"/>
            <w:hideMark/>
          </w:tcPr>
          <w:p w14:paraId="4EC58F52" w14:textId="77777777" w:rsidR="002255F4" w:rsidRPr="00E37842" w:rsidRDefault="002255F4" w:rsidP="001F47FF">
            <w:pPr>
              <w:pStyle w:val="Bezmezer"/>
            </w:pPr>
            <w:r w:rsidRPr="00E37842">
              <w:t>uživatelsky přehledné</w:t>
            </w:r>
            <w:r>
              <w:t xml:space="preserve"> aplikační prostřední</w:t>
            </w:r>
            <w:r w:rsidRPr="00E37842">
              <w:t xml:space="preserve">, jednoduché a fultextové vyhledávání </w:t>
            </w:r>
          </w:p>
        </w:tc>
        <w:tc>
          <w:tcPr>
            <w:tcW w:w="1276" w:type="dxa"/>
            <w:noWrap/>
          </w:tcPr>
          <w:p w14:paraId="0C181475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2D593EA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08DB497E" w14:textId="77777777" w:rsidTr="002255F4">
        <w:trPr>
          <w:trHeight w:val="510"/>
        </w:trPr>
        <w:tc>
          <w:tcPr>
            <w:tcW w:w="5920" w:type="dxa"/>
            <w:hideMark/>
          </w:tcPr>
          <w:p w14:paraId="37615EDE" w14:textId="77777777" w:rsidR="002255F4" w:rsidRPr="00E37842" w:rsidRDefault="002255F4" w:rsidP="009B4460">
            <w:pPr>
              <w:pStyle w:val="Bezmezer"/>
            </w:pPr>
            <w:r>
              <w:t>n</w:t>
            </w:r>
            <w:r w:rsidRPr="00E37842">
              <w:t>ástroje pro konﬁguraci a administraci celého systému v jednom prostředí (správa uživatelů, rolí, přístupových oprávnění, konfigurace systému apod.)</w:t>
            </w:r>
          </w:p>
        </w:tc>
        <w:tc>
          <w:tcPr>
            <w:tcW w:w="1276" w:type="dxa"/>
            <w:noWrap/>
          </w:tcPr>
          <w:p w14:paraId="2D812971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4F1F8FC5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45C650C5" w14:textId="77777777" w:rsidTr="002255F4">
        <w:trPr>
          <w:trHeight w:val="300"/>
        </w:trPr>
        <w:tc>
          <w:tcPr>
            <w:tcW w:w="5920" w:type="dxa"/>
            <w:hideMark/>
          </w:tcPr>
          <w:p w14:paraId="5F9F20D7" w14:textId="77777777" w:rsidR="002255F4" w:rsidRPr="00E37842" w:rsidRDefault="002255F4" w:rsidP="001F47FF">
            <w:pPr>
              <w:pStyle w:val="Bezmezer"/>
            </w:pPr>
            <w:r w:rsidRPr="00E37842">
              <w:t>migrace dat ze stávajících systémů (SQL) včetně základních údajů o neaktivních zaměstnancích</w:t>
            </w:r>
          </w:p>
        </w:tc>
        <w:tc>
          <w:tcPr>
            <w:tcW w:w="1276" w:type="dxa"/>
            <w:noWrap/>
          </w:tcPr>
          <w:p w14:paraId="76BBCF8A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E15CF81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7F1B5D41" w14:textId="77777777" w:rsidTr="002255F4">
        <w:trPr>
          <w:trHeight w:val="300"/>
        </w:trPr>
        <w:tc>
          <w:tcPr>
            <w:tcW w:w="5920" w:type="dxa"/>
          </w:tcPr>
          <w:p w14:paraId="6415654A" w14:textId="77777777" w:rsidR="002255F4" w:rsidRPr="00E37842" w:rsidRDefault="002255F4" w:rsidP="001B6C3B">
            <w:pPr>
              <w:pStyle w:val="Bezmezer"/>
              <w:rPr>
                <w:rFonts w:cs="Arial"/>
              </w:rPr>
            </w:pPr>
            <w:r w:rsidRPr="00E37842">
              <w:t>dynamické povolení a zrušení přístupu a rozsahu pověření jednotlivých zaměstnanců zadavatele</w:t>
            </w:r>
          </w:p>
        </w:tc>
        <w:tc>
          <w:tcPr>
            <w:tcW w:w="1276" w:type="dxa"/>
            <w:noWrap/>
          </w:tcPr>
          <w:p w14:paraId="23DBABEA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D5EF64B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73CF3851" w14:textId="77777777" w:rsidTr="002255F4">
        <w:trPr>
          <w:trHeight w:val="300"/>
        </w:trPr>
        <w:tc>
          <w:tcPr>
            <w:tcW w:w="5920" w:type="dxa"/>
            <w:hideMark/>
          </w:tcPr>
          <w:p w14:paraId="57D587CA" w14:textId="77777777" w:rsidR="002255F4" w:rsidRPr="00E37842" w:rsidRDefault="002255F4" w:rsidP="001B6C3B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 w:rsidRPr="00E37842">
              <w:rPr>
                <w:rFonts w:cs="Arial"/>
              </w:rPr>
              <w:t>přehledné grafické prostředí definice a přiřazování oprávnění přístupu k informacím pomocí skupin uživatelů, které usnadňují administraci systému</w:t>
            </w:r>
          </w:p>
        </w:tc>
        <w:tc>
          <w:tcPr>
            <w:tcW w:w="1276" w:type="dxa"/>
            <w:noWrap/>
          </w:tcPr>
          <w:p w14:paraId="35C72FEB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586148D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245D636C" w14:textId="77777777" w:rsidTr="002255F4">
        <w:trPr>
          <w:trHeight w:val="300"/>
        </w:trPr>
        <w:tc>
          <w:tcPr>
            <w:tcW w:w="5920" w:type="dxa"/>
          </w:tcPr>
          <w:p w14:paraId="6FB0661F" w14:textId="77777777" w:rsidR="002255F4" w:rsidRPr="00E37842" w:rsidRDefault="002255F4" w:rsidP="001B6C3B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 w:rsidRPr="00E37842">
              <w:rPr>
                <w:rFonts w:cs="Arial"/>
              </w:rPr>
              <w:t>nástroje pro evidenci uživatelů, jejich rolí a přístupových oprávnění</w:t>
            </w:r>
          </w:p>
        </w:tc>
        <w:tc>
          <w:tcPr>
            <w:tcW w:w="1276" w:type="dxa"/>
            <w:noWrap/>
          </w:tcPr>
          <w:p w14:paraId="5D4AA646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3D9C4BE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34E46697" w14:textId="77777777" w:rsidTr="002255F4">
        <w:trPr>
          <w:trHeight w:val="300"/>
        </w:trPr>
        <w:tc>
          <w:tcPr>
            <w:tcW w:w="5920" w:type="dxa"/>
          </w:tcPr>
          <w:p w14:paraId="2DBBFB21" w14:textId="77777777" w:rsidR="002255F4" w:rsidRPr="00E37842" w:rsidRDefault="002255F4" w:rsidP="001B6C3B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 w:rsidRPr="00E37842">
              <w:rPr>
                <w:rFonts w:cs="Arial"/>
              </w:rPr>
              <w:t>nástroje přiřazení uživatelských účtů do účelových skupin, každý uživatel může být členem více skupin</w:t>
            </w:r>
          </w:p>
        </w:tc>
        <w:tc>
          <w:tcPr>
            <w:tcW w:w="1276" w:type="dxa"/>
            <w:noWrap/>
          </w:tcPr>
          <w:p w14:paraId="1F9DF31D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09845603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58D7771D" w14:textId="77777777" w:rsidTr="002255F4">
        <w:trPr>
          <w:trHeight w:val="300"/>
        </w:trPr>
        <w:tc>
          <w:tcPr>
            <w:tcW w:w="5920" w:type="dxa"/>
          </w:tcPr>
          <w:p w14:paraId="39407CDB" w14:textId="77777777" w:rsidR="002255F4" w:rsidRPr="00E37842" w:rsidRDefault="002255F4" w:rsidP="001B6C3B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 w:rsidRPr="00E37842">
              <w:rPr>
                <w:rFonts w:cs="Arial"/>
              </w:rPr>
              <w:t>nástroj pro vytváření hierarchické vazby nadřízených a podřízených skupin pro systematickou správu</w:t>
            </w:r>
          </w:p>
        </w:tc>
        <w:tc>
          <w:tcPr>
            <w:tcW w:w="1276" w:type="dxa"/>
            <w:noWrap/>
          </w:tcPr>
          <w:p w14:paraId="7A02BAC4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5C3EFE8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045E6F88" w14:textId="77777777" w:rsidTr="002255F4">
        <w:trPr>
          <w:trHeight w:val="300"/>
        </w:trPr>
        <w:tc>
          <w:tcPr>
            <w:tcW w:w="5920" w:type="dxa"/>
          </w:tcPr>
          <w:p w14:paraId="5D017996" w14:textId="77777777" w:rsidR="002255F4" w:rsidRPr="00E37842" w:rsidRDefault="002255F4" w:rsidP="001B6C3B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 w:rsidRPr="00E37842">
              <w:rPr>
                <w:rFonts w:cs="Arial"/>
              </w:rPr>
              <w:t>přiřazení skupinám uživatelů definované role za účelem získání efektivních práv na práci v</w:t>
            </w:r>
            <w:r>
              <w:rPr>
                <w:rFonts w:cs="Arial"/>
              </w:rPr>
              <w:t> </w:t>
            </w:r>
            <w:r w:rsidRPr="00E37842">
              <w:rPr>
                <w:rFonts w:cs="Arial"/>
              </w:rPr>
              <w:t>systému</w:t>
            </w:r>
          </w:p>
        </w:tc>
        <w:tc>
          <w:tcPr>
            <w:tcW w:w="1276" w:type="dxa"/>
            <w:noWrap/>
          </w:tcPr>
          <w:p w14:paraId="1CA25878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B28B96E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46C9E0BF" w14:textId="77777777" w:rsidTr="002255F4">
        <w:trPr>
          <w:trHeight w:val="300"/>
        </w:trPr>
        <w:tc>
          <w:tcPr>
            <w:tcW w:w="5920" w:type="dxa"/>
            <w:hideMark/>
          </w:tcPr>
          <w:p w14:paraId="35E95B38" w14:textId="77777777" w:rsidR="002255F4" w:rsidRPr="00E37842" w:rsidRDefault="002255F4" w:rsidP="001B6C3B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 w:rsidRPr="00E37842">
              <w:rPr>
                <w:rFonts w:cs="Arial"/>
              </w:rPr>
              <w:t>nástroje pro nastavení práva pro čtení, změnu, vložení a smazání v rámci každé operace</w:t>
            </w:r>
          </w:p>
        </w:tc>
        <w:tc>
          <w:tcPr>
            <w:tcW w:w="1276" w:type="dxa"/>
            <w:noWrap/>
          </w:tcPr>
          <w:p w14:paraId="545D50A1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AEB0FCD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62CB48F0" w14:textId="77777777" w:rsidTr="002255F4">
        <w:trPr>
          <w:trHeight w:val="300"/>
        </w:trPr>
        <w:tc>
          <w:tcPr>
            <w:tcW w:w="5920" w:type="dxa"/>
            <w:hideMark/>
          </w:tcPr>
          <w:p w14:paraId="49BFDED8" w14:textId="77777777" w:rsidR="002255F4" w:rsidRPr="00E37842" w:rsidRDefault="002255F4" w:rsidP="001B6C3B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E37842">
              <w:rPr>
                <w:rFonts w:cs="Arial"/>
              </w:rPr>
              <w:t>azba na adresářové služby, LDAP a Active Directory</w:t>
            </w:r>
          </w:p>
        </w:tc>
        <w:tc>
          <w:tcPr>
            <w:tcW w:w="1276" w:type="dxa"/>
            <w:noWrap/>
          </w:tcPr>
          <w:p w14:paraId="60D4EE0B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3BCF336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7F4D8E65" w14:textId="77777777" w:rsidTr="002255F4">
        <w:trPr>
          <w:trHeight w:val="332"/>
        </w:trPr>
        <w:tc>
          <w:tcPr>
            <w:tcW w:w="5920" w:type="dxa"/>
            <w:hideMark/>
          </w:tcPr>
          <w:p w14:paraId="2BBA15BA" w14:textId="77777777" w:rsidR="002255F4" w:rsidRPr="00E37842" w:rsidRDefault="002255F4" w:rsidP="00D80748">
            <w:pPr>
              <w:pStyle w:val="Bezmezer"/>
            </w:pPr>
            <w:r w:rsidRPr="00E37842">
              <w:t>auditování volitelných operací a procesů v</w:t>
            </w:r>
            <w:r>
              <w:t> </w:t>
            </w:r>
            <w:r w:rsidRPr="00E37842">
              <w:t>systému</w:t>
            </w:r>
          </w:p>
        </w:tc>
        <w:tc>
          <w:tcPr>
            <w:tcW w:w="1276" w:type="dxa"/>
            <w:noWrap/>
          </w:tcPr>
          <w:p w14:paraId="1CE041AF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244AA7E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1F8B4D50" w14:textId="77777777" w:rsidTr="002255F4">
        <w:trPr>
          <w:trHeight w:val="300"/>
        </w:trPr>
        <w:tc>
          <w:tcPr>
            <w:tcW w:w="5920" w:type="dxa"/>
          </w:tcPr>
          <w:p w14:paraId="5D5CA4BD" w14:textId="77777777" w:rsidR="002255F4" w:rsidRPr="00E37842" w:rsidRDefault="002255F4" w:rsidP="001B6C3B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 w:rsidRPr="00E37842">
              <w:rPr>
                <w:rFonts w:cs="Arial"/>
              </w:rPr>
              <w:t>získání údajů o činnosti jednotlivých uživatelů, o událostech významných pro bezpečnost systému a chybách při běhu</w:t>
            </w:r>
          </w:p>
        </w:tc>
        <w:tc>
          <w:tcPr>
            <w:tcW w:w="1276" w:type="dxa"/>
            <w:noWrap/>
          </w:tcPr>
          <w:p w14:paraId="4628BDCD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240644D4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55CACF2F" w14:textId="77777777" w:rsidTr="002255F4">
        <w:trPr>
          <w:trHeight w:val="300"/>
        </w:trPr>
        <w:tc>
          <w:tcPr>
            <w:tcW w:w="5920" w:type="dxa"/>
          </w:tcPr>
          <w:p w14:paraId="3E21B6CD" w14:textId="77777777" w:rsidR="002255F4" w:rsidRPr="00E37842" w:rsidRDefault="002255F4" w:rsidP="00447A4D">
            <w:pPr>
              <w:pStyle w:val="Bezmezer"/>
              <w:numPr>
                <w:ilvl w:val="1"/>
                <w:numId w:val="21"/>
              </w:numPr>
            </w:pPr>
            <w:r w:rsidRPr="00E37842">
              <w:rPr>
                <w:rFonts w:cs="Arial"/>
              </w:rPr>
              <w:t xml:space="preserve">nástroje konﬁgurace auditu umožňující </w:t>
            </w:r>
            <w:r>
              <w:rPr>
                <w:rFonts w:cs="Arial"/>
              </w:rPr>
              <w:t>definovat</w:t>
            </w:r>
            <w:r w:rsidRPr="00E37842">
              <w:rPr>
                <w:rFonts w:cs="Arial"/>
              </w:rPr>
              <w:t xml:space="preserve"> audit pouze na určité objekty, události a účty</w:t>
            </w:r>
          </w:p>
        </w:tc>
        <w:tc>
          <w:tcPr>
            <w:tcW w:w="1276" w:type="dxa"/>
            <w:noWrap/>
          </w:tcPr>
          <w:p w14:paraId="2E6EADEA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712C2DF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1ADB3B45" w14:textId="77777777" w:rsidTr="002255F4">
        <w:trPr>
          <w:trHeight w:val="300"/>
        </w:trPr>
        <w:tc>
          <w:tcPr>
            <w:tcW w:w="5920" w:type="dxa"/>
          </w:tcPr>
          <w:p w14:paraId="607B26AC" w14:textId="77777777" w:rsidR="002255F4" w:rsidRPr="00E37842" w:rsidRDefault="002255F4" w:rsidP="001B6C3B">
            <w:pPr>
              <w:pStyle w:val="Bezmezer"/>
              <w:numPr>
                <w:ilvl w:val="1"/>
                <w:numId w:val="21"/>
              </w:numPr>
            </w:pPr>
            <w:r w:rsidRPr="00E37842">
              <w:rPr>
                <w:rFonts w:cs="Arial"/>
              </w:rPr>
              <w:t>nástroje pro třídění, filtrování a prohledávání auditních záznamů</w:t>
            </w:r>
          </w:p>
        </w:tc>
        <w:tc>
          <w:tcPr>
            <w:tcW w:w="1276" w:type="dxa"/>
            <w:noWrap/>
          </w:tcPr>
          <w:p w14:paraId="6F878433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CE79210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7FBC1A30" w14:textId="77777777" w:rsidTr="002255F4">
        <w:trPr>
          <w:trHeight w:val="300"/>
        </w:trPr>
        <w:tc>
          <w:tcPr>
            <w:tcW w:w="5920" w:type="dxa"/>
          </w:tcPr>
          <w:p w14:paraId="677D762B" w14:textId="77777777" w:rsidR="002255F4" w:rsidRPr="00E37842" w:rsidRDefault="002255F4" w:rsidP="001B6C3B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logování čtení údajů – zobrazení formuláře s identifikací zaměstnance </w:t>
            </w:r>
          </w:p>
        </w:tc>
        <w:tc>
          <w:tcPr>
            <w:tcW w:w="1276" w:type="dxa"/>
            <w:noWrap/>
          </w:tcPr>
          <w:p w14:paraId="532B40FD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D68FCEE" w14:textId="77777777" w:rsidR="002255F4" w:rsidRPr="009D3B86" w:rsidRDefault="002255F4" w:rsidP="001F47FF">
            <w:pPr>
              <w:pStyle w:val="Bezmezer"/>
            </w:pPr>
          </w:p>
        </w:tc>
      </w:tr>
      <w:tr w:rsidR="002255F4" w:rsidRPr="009D3B86" w14:paraId="15CAF296" w14:textId="77777777" w:rsidTr="002255F4">
        <w:trPr>
          <w:trHeight w:val="300"/>
        </w:trPr>
        <w:tc>
          <w:tcPr>
            <w:tcW w:w="5920" w:type="dxa"/>
          </w:tcPr>
          <w:p w14:paraId="6E459A92" w14:textId="77777777" w:rsidR="002255F4" w:rsidRDefault="002255F4" w:rsidP="001F47FF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lastRenderedPageBreak/>
              <w:t>s</w:t>
            </w:r>
            <w:r w:rsidRPr="00E37842">
              <w:rPr>
                <w:rFonts w:cs="Arial"/>
              </w:rPr>
              <w:t>práva číselníků – s možností doplňování a editace číselníků</w:t>
            </w:r>
            <w:r>
              <w:rPr>
                <w:rFonts w:cs="Arial"/>
              </w:rPr>
              <w:t>:</w:t>
            </w:r>
          </w:p>
          <w:p w14:paraId="7F47CC0B" w14:textId="77777777" w:rsidR="002255F4" w:rsidRDefault="002255F4" w:rsidP="001F0281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kategorie znalostí</w:t>
            </w:r>
          </w:p>
          <w:p w14:paraId="006BCFB1" w14:textId="77777777" w:rsidR="002255F4" w:rsidRDefault="002255F4" w:rsidP="001F0281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pracovní doba</w:t>
            </w:r>
          </w:p>
          <w:p w14:paraId="430B58FF" w14:textId="77777777" w:rsidR="002255F4" w:rsidRDefault="002255F4" w:rsidP="001F0281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kompetence</w:t>
            </w:r>
          </w:p>
          <w:p w14:paraId="2562021C" w14:textId="77777777" w:rsidR="002255F4" w:rsidRDefault="002255F4" w:rsidP="001F0281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mzdové a platové předpisy</w:t>
            </w:r>
          </w:p>
          <w:p w14:paraId="3BF7B873" w14:textId="77777777" w:rsidR="002255F4" w:rsidRDefault="002255F4" w:rsidP="001F0281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typy pracovních pomůcek</w:t>
            </w:r>
          </w:p>
          <w:p w14:paraId="296BEA2C" w14:textId="77777777" w:rsidR="002255F4" w:rsidRDefault="002255F4" w:rsidP="001F0281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způsob krácení praxe</w:t>
            </w:r>
          </w:p>
          <w:p w14:paraId="2C035E05" w14:textId="77777777" w:rsidR="002255F4" w:rsidRDefault="002255F4" w:rsidP="001F0281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druh docházkové složky</w:t>
            </w:r>
          </w:p>
          <w:p w14:paraId="183ABCF6" w14:textId="77777777" w:rsidR="002255F4" w:rsidRPr="001F0281" w:rsidRDefault="002255F4" w:rsidP="001F0281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a další</w:t>
            </w:r>
          </w:p>
        </w:tc>
        <w:tc>
          <w:tcPr>
            <w:tcW w:w="1276" w:type="dxa"/>
            <w:noWrap/>
          </w:tcPr>
          <w:p w14:paraId="206FE65C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7FE52BB6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25B26CF5" w14:textId="77777777" w:rsidTr="002255F4">
        <w:trPr>
          <w:trHeight w:val="300"/>
        </w:trPr>
        <w:tc>
          <w:tcPr>
            <w:tcW w:w="5920" w:type="dxa"/>
          </w:tcPr>
          <w:p w14:paraId="25C91592" w14:textId="77777777" w:rsidR="002255F4" w:rsidRPr="00E37842" w:rsidRDefault="002255F4" w:rsidP="001B6C3B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37842">
              <w:rPr>
                <w:rFonts w:cs="Arial"/>
              </w:rPr>
              <w:t>arametrizace a konﬁgurace systému – obecné nastavení systému</w:t>
            </w:r>
          </w:p>
        </w:tc>
        <w:tc>
          <w:tcPr>
            <w:tcW w:w="1276" w:type="dxa"/>
            <w:noWrap/>
          </w:tcPr>
          <w:p w14:paraId="2E4D5AE8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8A53A17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53DF0F36" w14:textId="77777777" w:rsidTr="002255F4">
        <w:trPr>
          <w:trHeight w:val="300"/>
        </w:trPr>
        <w:tc>
          <w:tcPr>
            <w:tcW w:w="5920" w:type="dxa"/>
          </w:tcPr>
          <w:p w14:paraId="490ABC5C" w14:textId="77777777" w:rsidR="002255F4" w:rsidRPr="00E37842" w:rsidRDefault="002255F4" w:rsidP="001F47FF">
            <w:pPr>
              <w:pStyle w:val="Bezmezer"/>
            </w:pPr>
            <w:r>
              <w:rPr>
                <w:rFonts w:cs="Arial"/>
              </w:rPr>
              <w:t>o</w:t>
            </w:r>
            <w:r w:rsidRPr="00E37842">
              <w:rPr>
                <w:rFonts w:cs="Arial"/>
              </w:rPr>
              <w:t>nline přepočty všech parametrů včetně výpočtu mezd</w:t>
            </w:r>
          </w:p>
        </w:tc>
        <w:tc>
          <w:tcPr>
            <w:tcW w:w="1276" w:type="dxa"/>
            <w:noWrap/>
          </w:tcPr>
          <w:p w14:paraId="3BE8E898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712FDA85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2F91080B" w14:textId="77777777" w:rsidTr="002255F4">
        <w:trPr>
          <w:trHeight w:val="300"/>
        </w:trPr>
        <w:tc>
          <w:tcPr>
            <w:tcW w:w="5920" w:type="dxa"/>
            <w:hideMark/>
          </w:tcPr>
          <w:p w14:paraId="2F575DDD" w14:textId="77777777" w:rsidR="002255F4" w:rsidRPr="00E37842" w:rsidRDefault="002255F4" w:rsidP="001F47FF">
            <w:pPr>
              <w:pStyle w:val="Bezmezer"/>
            </w:pPr>
            <w:r w:rsidRPr="00E37842">
              <w:t>ochrana osobních dat zaměstnanců před zneužitím dle příslušného zákona</w:t>
            </w:r>
          </w:p>
        </w:tc>
        <w:tc>
          <w:tcPr>
            <w:tcW w:w="1276" w:type="dxa"/>
            <w:noWrap/>
          </w:tcPr>
          <w:p w14:paraId="45B8B98E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AB3675C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5E3814D8" w14:textId="77777777" w:rsidTr="002255F4">
        <w:trPr>
          <w:trHeight w:val="300"/>
        </w:trPr>
        <w:tc>
          <w:tcPr>
            <w:tcW w:w="5920" w:type="dxa"/>
            <w:hideMark/>
          </w:tcPr>
          <w:p w14:paraId="69EE5CBE" w14:textId="77777777" w:rsidR="002255F4" w:rsidRPr="00E37842" w:rsidRDefault="002255F4" w:rsidP="001F47FF">
            <w:pPr>
              <w:pStyle w:val="Bezmezer"/>
            </w:pPr>
            <w:r w:rsidRPr="00E37842">
              <w:t xml:space="preserve">vzdálená správa SW </w:t>
            </w:r>
          </w:p>
        </w:tc>
        <w:tc>
          <w:tcPr>
            <w:tcW w:w="1276" w:type="dxa"/>
            <w:noWrap/>
          </w:tcPr>
          <w:p w14:paraId="7868E18D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AA1DA14" w14:textId="77777777" w:rsidR="002255F4" w:rsidRPr="00C86E7B" w:rsidRDefault="002255F4" w:rsidP="001F47FF">
            <w:pPr>
              <w:pStyle w:val="Bezmezer"/>
            </w:pPr>
          </w:p>
        </w:tc>
      </w:tr>
      <w:tr w:rsidR="002255F4" w:rsidRPr="009D3B86" w14:paraId="6F1A9ADC" w14:textId="77777777" w:rsidTr="002255F4">
        <w:trPr>
          <w:trHeight w:val="300"/>
        </w:trPr>
        <w:tc>
          <w:tcPr>
            <w:tcW w:w="5920" w:type="dxa"/>
          </w:tcPr>
          <w:p w14:paraId="28848BAB" w14:textId="77777777" w:rsidR="002255F4" w:rsidRPr="00E37842" w:rsidRDefault="002255F4" w:rsidP="00D208C1">
            <w:pPr>
              <w:pStyle w:val="Bezmezer"/>
            </w:pPr>
            <w:r>
              <w:t>n</w:t>
            </w:r>
            <w:r w:rsidRPr="00E37842">
              <w:t>ástroj pro uživatelskou definici vlastních sestav (plně grafické uživatelské prostředí bez nutnosti znalosti SQL):</w:t>
            </w:r>
          </w:p>
        </w:tc>
        <w:tc>
          <w:tcPr>
            <w:tcW w:w="1276" w:type="dxa"/>
            <w:noWrap/>
          </w:tcPr>
          <w:p w14:paraId="7FEEF9DB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0DF4457E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6306BCA4" w14:textId="77777777" w:rsidTr="002255F4">
        <w:trPr>
          <w:trHeight w:val="300"/>
        </w:trPr>
        <w:tc>
          <w:tcPr>
            <w:tcW w:w="5920" w:type="dxa"/>
          </w:tcPr>
          <w:p w14:paraId="6AB3CA94" w14:textId="77777777" w:rsidR="002255F4" w:rsidRPr="00E37842" w:rsidRDefault="002255F4" w:rsidP="00360F0A">
            <w:pPr>
              <w:pStyle w:val="Bezmezer"/>
              <w:numPr>
                <w:ilvl w:val="1"/>
                <w:numId w:val="21"/>
              </w:numPr>
            </w:pPr>
            <w:r w:rsidRPr="00E37842">
              <w:rPr>
                <w:rFonts w:cs="Arial"/>
              </w:rPr>
              <w:t>náhled a tisk sestav přes zaměstnanecký portál včetně dynamického náhledu s možností úprav před tiskem</w:t>
            </w:r>
          </w:p>
        </w:tc>
        <w:tc>
          <w:tcPr>
            <w:tcW w:w="1276" w:type="dxa"/>
            <w:noWrap/>
          </w:tcPr>
          <w:p w14:paraId="0E6F75E5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50A9BC5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555461B6" w14:textId="77777777" w:rsidTr="002255F4">
        <w:trPr>
          <w:trHeight w:val="300"/>
        </w:trPr>
        <w:tc>
          <w:tcPr>
            <w:tcW w:w="5920" w:type="dxa"/>
          </w:tcPr>
          <w:p w14:paraId="147FC4E2" w14:textId="77777777" w:rsidR="002255F4" w:rsidRPr="00E37842" w:rsidRDefault="002255F4" w:rsidP="00360F0A">
            <w:pPr>
              <w:pStyle w:val="Bezmezer"/>
              <w:numPr>
                <w:ilvl w:val="1"/>
                <w:numId w:val="21"/>
              </w:numPr>
            </w:pPr>
            <w:r w:rsidRPr="00E37842">
              <w:t>tvorba a úprava všech sestav nezávisle na dodavateli</w:t>
            </w:r>
          </w:p>
        </w:tc>
        <w:tc>
          <w:tcPr>
            <w:tcW w:w="1276" w:type="dxa"/>
            <w:noWrap/>
          </w:tcPr>
          <w:p w14:paraId="04B0DBC3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0FEB6A29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1188FFCA" w14:textId="77777777" w:rsidTr="002255F4">
        <w:trPr>
          <w:trHeight w:val="300"/>
        </w:trPr>
        <w:tc>
          <w:tcPr>
            <w:tcW w:w="5920" w:type="dxa"/>
          </w:tcPr>
          <w:p w14:paraId="21357383" w14:textId="77777777" w:rsidR="002255F4" w:rsidRDefault="002255F4" w:rsidP="004869D3">
            <w:pPr>
              <w:pStyle w:val="Bezmezer"/>
              <w:numPr>
                <w:ilvl w:val="1"/>
                <w:numId w:val="21"/>
              </w:numPr>
            </w:pPr>
            <w:r w:rsidRPr="00E37842">
              <w:t>generování personalizovaných dokumentů v běžných formátech (min.. Word, Excel, Adobe apod.)</w:t>
            </w:r>
            <w:r>
              <w:t xml:space="preserve"> – </w:t>
            </w:r>
            <w:r w:rsidR="005D2C56">
              <w:t>naplnění</w:t>
            </w:r>
            <w:r>
              <w:t xml:space="preserve"> dokumentů MS Word informacemi ze systému – popis pracovních míst, pozice a další osobní údaje, které vstupují do osobních dokumentů zaměstnanců (pracovní smlouva, platový výměr, popis pracovního místa a pracovní činnosti</w:t>
            </w:r>
          </w:p>
          <w:p w14:paraId="1A9D2DC0" w14:textId="77777777" w:rsidR="002255F4" w:rsidRPr="00E37842" w:rsidRDefault="002255F4" w:rsidP="004869D3">
            <w:pPr>
              <w:pStyle w:val="Bezmezer"/>
              <w:numPr>
                <w:ilvl w:val="1"/>
                <w:numId w:val="21"/>
              </w:numPr>
            </w:pPr>
            <w:r>
              <w:t>podpora nástrojů hromadné korespondence v MS Word</w:t>
            </w:r>
          </w:p>
        </w:tc>
        <w:tc>
          <w:tcPr>
            <w:tcW w:w="1276" w:type="dxa"/>
            <w:noWrap/>
          </w:tcPr>
          <w:p w14:paraId="1AF0EB54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2780C16B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787023A6" w14:textId="77777777" w:rsidTr="002255F4">
        <w:trPr>
          <w:trHeight w:val="300"/>
        </w:trPr>
        <w:tc>
          <w:tcPr>
            <w:tcW w:w="5920" w:type="dxa"/>
          </w:tcPr>
          <w:p w14:paraId="4FC99AA9" w14:textId="77777777" w:rsidR="002255F4" w:rsidRPr="00C4649F" w:rsidRDefault="002255F4" w:rsidP="00C4649F">
            <w:pPr>
              <w:pStyle w:val="Bezmezer"/>
              <w:numPr>
                <w:ilvl w:val="1"/>
                <w:numId w:val="21"/>
              </w:numPr>
            </w:pPr>
            <w:r w:rsidRPr="00E37842">
              <w:t>tisk pracovní smlouvy</w:t>
            </w:r>
          </w:p>
        </w:tc>
        <w:tc>
          <w:tcPr>
            <w:tcW w:w="1276" w:type="dxa"/>
            <w:noWrap/>
          </w:tcPr>
          <w:p w14:paraId="043F1AAB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03EEBA5D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03DE8114" w14:textId="77777777" w:rsidTr="002255F4">
        <w:trPr>
          <w:trHeight w:val="300"/>
        </w:trPr>
        <w:tc>
          <w:tcPr>
            <w:tcW w:w="5920" w:type="dxa"/>
          </w:tcPr>
          <w:p w14:paraId="01149B68" w14:textId="77777777" w:rsidR="002255F4" w:rsidRPr="00C4649F" w:rsidRDefault="002255F4" w:rsidP="00C4649F">
            <w:pPr>
              <w:pStyle w:val="Bezmezer"/>
              <w:numPr>
                <w:ilvl w:val="1"/>
                <w:numId w:val="21"/>
              </w:numPr>
            </w:pPr>
            <w:r w:rsidRPr="00E37842">
              <w:t>tisk dohody o rozvázání pracovního poměru</w:t>
            </w:r>
          </w:p>
        </w:tc>
        <w:tc>
          <w:tcPr>
            <w:tcW w:w="1276" w:type="dxa"/>
            <w:noWrap/>
          </w:tcPr>
          <w:p w14:paraId="0E9AA140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D28DE21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53BCE478" w14:textId="77777777" w:rsidTr="002255F4">
        <w:trPr>
          <w:trHeight w:val="300"/>
        </w:trPr>
        <w:tc>
          <w:tcPr>
            <w:tcW w:w="5920" w:type="dxa"/>
          </w:tcPr>
          <w:p w14:paraId="0A0A9969" w14:textId="77777777" w:rsidR="002255F4" w:rsidRPr="00C4649F" w:rsidRDefault="002255F4" w:rsidP="00C4649F">
            <w:pPr>
              <w:pStyle w:val="Bezmezer"/>
              <w:numPr>
                <w:ilvl w:val="1"/>
                <w:numId w:val="21"/>
              </w:numPr>
            </w:pPr>
            <w:r w:rsidRPr="00E37842">
              <w:t>tisk oznámení o zrušení pracovního poměru ve zkušební době</w:t>
            </w:r>
          </w:p>
        </w:tc>
        <w:tc>
          <w:tcPr>
            <w:tcW w:w="1276" w:type="dxa"/>
            <w:noWrap/>
          </w:tcPr>
          <w:p w14:paraId="53AC0D03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0A7C0AF4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0F0FBD13" w14:textId="77777777" w:rsidTr="002255F4">
        <w:trPr>
          <w:trHeight w:val="337"/>
        </w:trPr>
        <w:tc>
          <w:tcPr>
            <w:tcW w:w="5920" w:type="dxa"/>
          </w:tcPr>
          <w:p w14:paraId="1095A16B" w14:textId="77777777" w:rsidR="002255F4" w:rsidRPr="00E37842" w:rsidRDefault="002255F4" w:rsidP="00360F0A">
            <w:pPr>
              <w:pStyle w:val="Bezmezer"/>
              <w:numPr>
                <w:ilvl w:val="1"/>
                <w:numId w:val="21"/>
              </w:numPr>
            </w:pPr>
            <w:r w:rsidRPr="00E37842">
              <w:t>tisk dohody o změně pracovní smlouvy</w:t>
            </w:r>
          </w:p>
        </w:tc>
        <w:tc>
          <w:tcPr>
            <w:tcW w:w="1276" w:type="dxa"/>
            <w:noWrap/>
          </w:tcPr>
          <w:p w14:paraId="575E46D5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6D045B9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04730DBE" w14:textId="77777777" w:rsidTr="002255F4">
        <w:trPr>
          <w:trHeight w:val="300"/>
        </w:trPr>
        <w:tc>
          <w:tcPr>
            <w:tcW w:w="5920" w:type="dxa"/>
          </w:tcPr>
          <w:p w14:paraId="69D546D6" w14:textId="77777777" w:rsidR="002255F4" w:rsidRPr="00C4649F" w:rsidRDefault="002255F4" w:rsidP="00C4649F">
            <w:pPr>
              <w:pStyle w:val="Bezmezer"/>
              <w:numPr>
                <w:ilvl w:val="1"/>
                <w:numId w:val="21"/>
              </w:numPr>
            </w:pPr>
            <w:r w:rsidRPr="00E37842">
              <w:t>tisk dohody o provedení práce / provedení pracovní činnosti</w:t>
            </w:r>
          </w:p>
        </w:tc>
        <w:tc>
          <w:tcPr>
            <w:tcW w:w="1276" w:type="dxa"/>
            <w:noWrap/>
          </w:tcPr>
          <w:p w14:paraId="360B5DC7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D19738E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61F730A6" w14:textId="77777777" w:rsidTr="002255F4">
        <w:trPr>
          <w:trHeight w:val="300"/>
        </w:trPr>
        <w:tc>
          <w:tcPr>
            <w:tcW w:w="5920" w:type="dxa"/>
          </w:tcPr>
          <w:p w14:paraId="4CE2EEF1" w14:textId="77777777" w:rsidR="002255F4" w:rsidRPr="00C4649F" w:rsidRDefault="002255F4" w:rsidP="00C4649F">
            <w:pPr>
              <w:pStyle w:val="Bezmezer"/>
              <w:numPr>
                <w:ilvl w:val="1"/>
                <w:numId w:val="21"/>
              </w:numPr>
            </w:pPr>
            <w:r w:rsidRPr="00E37842">
              <w:t xml:space="preserve">další </w:t>
            </w:r>
            <w:r w:rsidR="005D2C56" w:rsidRPr="00E37842">
              <w:t>sestavy – popisy</w:t>
            </w:r>
            <w:r w:rsidRPr="00E37842">
              <w:t xml:space="preserve"> práce a pracovní náplně, rozpisy směn, jubilanti, důchodci, rodičovství, zápočtový list, potvrzení ÚP apod.</w:t>
            </w:r>
          </w:p>
        </w:tc>
        <w:tc>
          <w:tcPr>
            <w:tcW w:w="1276" w:type="dxa"/>
            <w:noWrap/>
          </w:tcPr>
          <w:p w14:paraId="38F560E1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8925C99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5F169D37" w14:textId="77777777" w:rsidTr="002255F4">
        <w:trPr>
          <w:trHeight w:val="300"/>
        </w:trPr>
        <w:tc>
          <w:tcPr>
            <w:tcW w:w="5920" w:type="dxa"/>
          </w:tcPr>
          <w:p w14:paraId="63122CB1" w14:textId="77777777" w:rsidR="002255F4" w:rsidRPr="00C4649F" w:rsidRDefault="002255F4" w:rsidP="00C4649F">
            <w:pPr>
              <w:pStyle w:val="Bezmezer"/>
              <w:numPr>
                <w:ilvl w:val="1"/>
                <w:numId w:val="21"/>
              </w:numPr>
            </w:pPr>
            <w:r w:rsidRPr="00E37842">
              <w:t>tvorba výstupy odpracované doby rozdělené na jednotlivé projekty, včetně popisu činnosti, ve formátu dle požadavků zákazníka</w:t>
            </w:r>
          </w:p>
        </w:tc>
        <w:tc>
          <w:tcPr>
            <w:tcW w:w="1276" w:type="dxa"/>
            <w:noWrap/>
          </w:tcPr>
          <w:p w14:paraId="4B495AB7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82A0535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0D041055" w14:textId="77777777" w:rsidTr="002255F4">
        <w:trPr>
          <w:trHeight w:val="300"/>
        </w:trPr>
        <w:tc>
          <w:tcPr>
            <w:tcW w:w="5920" w:type="dxa"/>
          </w:tcPr>
          <w:p w14:paraId="019A3474" w14:textId="77777777" w:rsidR="002255F4" w:rsidRPr="00C4649F" w:rsidRDefault="002255F4" w:rsidP="00C4649F">
            <w:pPr>
              <w:pStyle w:val="Bezmezer"/>
              <w:numPr>
                <w:ilvl w:val="1"/>
                <w:numId w:val="21"/>
              </w:numPr>
            </w:pPr>
            <w:r w:rsidRPr="00E37842">
              <w:t xml:space="preserve">zpřístupnění nastavení sestav přes webovou aplikaci ostatním zaměstnancům </w:t>
            </w:r>
          </w:p>
        </w:tc>
        <w:tc>
          <w:tcPr>
            <w:tcW w:w="1276" w:type="dxa"/>
            <w:noWrap/>
          </w:tcPr>
          <w:p w14:paraId="13DB0815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4D1BB1C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208E8166" w14:textId="77777777" w:rsidTr="002255F4">
        <w:trPr>
          <w:trHeight w:val="300"/>
        </w:trPr>
        <w:tc>
          <w:tcPr>
            <w:tcW w:w="5920" w:type="dxa"/>
          </w:tcPr>
          <w:p w14:paraId="6FF33EEE" w14:textId="77777777" w:rsidR="002255F4" w:rsidRPr="00194675" w:rsidRDefault="002255F4" w:rsidP="001F47FF">
            <w:pPr>
              <w:pStyle w:val="Bezmezer"/>
              <w:rPr>
                <w:highlight w:val="yellow"/>
              </w:rPr>
            </w:pPr>
            <w:r>
              <w:rPr>
                <w:rFonts w:cs="Arial"/>
              </w:rPr>
              <w:t>N</w:t>
            </w:r>
            <w:r w:rsidRPr="00F26E0E">
              <w:rPr>
                <w:rFonts w:cs="Arial"/>
              </w:rPr>
              <w:t>ástroj pro uživatelskou tvorbu exportů a importů a jejich ukládání</w:t>
            </w:r>
            <w:r>
              <w:rPr>
                <w:rFonts w:cs="Arial"/>
              </w:rPr>
              <w:t>:</w:t>
            </w:r>
          </w:p>
        </w:tc>
        <w:tc>
          <w:tcPr>
            <w:tcW w:w="1276" w:type="dxa"/>
            <w:noWrap/>
          </w:tcPr>
          <w:p w14:paraId="61C21730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E006779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171597A6" w14:textId="77777777" w:rsidTr="002255F4">
        <w:trPr>
          <w:trHeight w:val="300"/>
        </w:trPr>
        <w:tc>
          <w:tcPr>
            <w:tcW w:w="5920" w:type="dxa"/>
          </w:tcPr>
          <w:p w14:paraId="1606E406" w14:textId="77777777" w:rsidR="002255F4" w:rsidRPr="004869D3" w:rsidRDefault="002255F4" w:rsidP="004869D3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nástroj</w:t>
            </w:r>
            <w:r w:rsidRPr="00CC27FF">
              <w:rPr>
                <w:rFonts w:cs="Arial"/>
              </w:rPr>
              <w:t xml:space="preserve"> konﬁgurace pro import dat z jiných systémů nebo externích zdrojů dat</w:t>
            </w:r>
          </w:p>
        </w:tc>
        <w:tc>
          <w:tcPr>
            <w:tcW w:w="1276" w:type="dxa"/>
            <w:noWrap/>
          </w:tcPr>
          <w:p w14:paraId="216675FA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72C8A958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5E338ECC" w14:textId="77777777" w:rsidTr="002255F4">
        <w:trPr>
          <w:trHeight w:val="588"/>
        </w:trPr>
        <w:tc>
          <w:tcPr>
            <w:tcW w:w="5920" w:type="dxa"/>
          </w:tcPr>
          <w:p w14:paraId="32676664" w14:textId="77777777" w:rsidR="002255F4" w:rsidRPr="005951ED" w:rsidRDefault="002255F4" w:rsidP="005951ED">
            <w:pPr>
              <w:pStyle w:val="Bezmezer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možnost využití p</w:t>
            </w:r>
            <w:r w:rsidRPr="00CC27FF">
              <w:rPr>
                <w:rFonts w:cs="Arial"/>
              </w:rPr>
              <w:t>růvo</w:t>
            </w:r>
            <w:r>
              <w:rPr>
                <w:rFonts w:cs="Arial"/>
              </w:rPr>
              <w:t>dce konﬁgurací importu usnadňující</w:t>
            </w:r>
            <w:r w:rsidRPr="00CC27FF">
              <w:rPr>
                <w:rFonts w:cs="Arial"/>
              </w:rPr>
              <w:t xml:space="preserve"> nastavení </w:t>
            </w:r>
            <w:r>
              <w:rPr>
                <w:rFonts w:cs="Arial"/>
              </w:rPr>
              <w:t xml:space="preserve">výběru dat, jejich transformaci </w:t>
            </w:r>
            <w:r w:rsidRPr="00CC27FF">
              <w:rPr>
                <w:rFonts w:cs="Arial"/>
              </w:rPr>
              <w:t>a mapování na interní data</w:t>
            </w:r>
          </w:p>
        </w:tc>
        <w:tc>
          <w:tcPr>
            <w:tcW w:w="1276" w:type="dxa"/>
            <w:noWrap/>
          </w:tcPr>
          <w:p w14:paraId="43CFCED0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63DDC27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56007AA1" w14:textId="77777777" w:rsidTr="002255F4">
        <w:trPr>
          <w:trHeight w:val="300"/>
        </w:trPr>
        <w:tc>
          <w:tcPr>
            <w:tcW w:w="5920" w:type="dxa"/>
          </w:tcPr>
          <w:p w14:paraId="7AF9FEA6" w14:textId="77777777" w:rsidR="002255F4" w:rsidRPr="00F26E0E" w:rsidRDefault="002255F4" w:rsidP="004869D3">
            <w:pPr>
              <w:pStyle w:val="Bezmezer"/>
              <w:rPr>
                <w:rFonts w:cs="Arial"/>
              </w:rPr>
            </w:pPr>
            <w:r w:rsidRPr="00F26E0E">
              <w:rPr>
                <w:rFonts w:cs="Arial"/>
              </w:rPr>
              <w:t xml:space="preserve">vyplňování a tisk oficiálních tiskopisů nebo jejich export v požadovaných formátech pro elektronickou komunikaci </w:t>
            </w:r>
          </w:p>
          <w:p w14:paraId="63AB1EA3" w14:textId="77777777" w:rsidR="002255F4" w:rsidRPr="001B6C3B" w:rsidRDefault="002255F4" w:rsidP="00447A4D">
            <w:pPr>
              <w:pStyle w:val="Bezmezer"/>
            </w:pPr>
            <w:r w:rsidRPr="00F26E0E">
              <w:rPr>
                <w:rFonts w:cs="Arial"/>
              </w:rPr>
              <w:t>zajištění aktualizací (při změně legislativy) po dobu platnosti smlouvy v rámci provozní podpory</w:t>
            </w:r>
            <w:r>
              <w:rPr>
                <w:rFonts w:cs="Arial"/>
              </w:rPr>
              <w:t xml:space="preserve"> – např. ČSSZ, pojišťovny, finanční úřad</w:t>
            </w:r>
          </w:p>
        </w:tc>
        <w:tc>
          <w:tcPr>
            <w:tcW w:w="1276" w:type="dxa"/>
            <w:noWrap/>
          </w:tcPr>
          <w:p w14:paraId="36C348A1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7CC6142A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1AE457A9" w14:textId="77777777" w:rsidTr="002255F4">
        <w:trPr>
          <w:trHeight w:val="300"/>
        </w:trPr>
        <w:tc>
          <w:tcPr>
            <w:tcW w:w="5920" w:type="dxa"/>
          </w:tcPr>
          <w:p w14:paraId="6B6D5790" w14:textId="77777777" w:rsidR="002255F4" w:rsidRPr="001B6C3B" w:rsidRDefault="002255F4" w:rsidP="00364257">
            <w:pPr>
              <w:pStyle w:val="Bezmezer"/>
            </w:pPr>
            <w:r w:rsidRPr="00F26E0E">
              <w:rPr>
                <w:rFonts w:cs="Arial"/>
              </w:rPr>
              <w:t>možnost nahlížení do insolvenčního rejstříku</w:t>
            </w:r>
          </w:p>
        </w:tc>
        <w:tc>
          <w:tcPr>
            <w:tcW w:w="1276" w:type="dxa"/>
            <w:noWrap/>
          </w:tcPr>
          <w:p w14:paraId="5CC530CA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3ED8A6E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7DA4AEC2" w14:textId="77777777" w:rsidTr="002255F4">
        <w:trPr>
          <w:trHeight w:val="300"/>
        </w:trPr>
        <w:tc>
          <w:tcPr>
            <w:tcW w:w="5920" w:type="dxa"/>
          </w:tcPr>
          <w:p w14:paraId="45039CA0" w14:textId="77777777" w:rsidR="002255F4" w:rsidRPr="001B6C3B" w:rsidRDefault="002255F4" w:rsidP="00483E01">
            <w:pPr>
              <w:pStyle w:val="Bezmezer"/>
            </w:pPr>
            <w:r w:rsidRPr="00F26E0E">
              <w:rPr>
                <w:rFonts w:cs="Arial"/>
              </w:rPr>
              <w:t>zaměstnanecký portál v</w:t>
            </w:r>
            <w:r>
              <w:rPr>
                <w:rFonts w:cs="Arial"/>
              </w:rPr>
              <w:t> českém, anglické, slovenském jazyce</w:t>
            </w:r>
          </w:p>
        </w:tc>
        <w:tc>
          <w:tcPr>
            <w:tcW w:w="1276" w:type="dxa"/>
            <w:noWrap/>
          </w:tcPr>
          <w:p w14:paraId="369C82BD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2D50539E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30AD66F9" w14:textId="77777777" w:rsidTr="002255F4">
        <w:trPr>
          <w:trHeight w:val="300"/>
        </w:trPr>
        <w:tc>
          <w:tcPr>
            <w:tcW w:w="5920" w:type="dxa"/>
          </w:tcPr>
          <w:p w14:paraId="31D14AEE" w14:textId="77777777" w:rsidR="002255F4" w:rsidRPr="001B6C3B" w:rsidRDefault="002255F4" w:rsidP="001F47FF">
            <w:pPr>
              <w:pStyle w:val="Bezmezer"/>
            </w:pPr>
            <w:r w:rsidRPr="00F26E0E">
              <w:rPr>
                <w:rFonts w:cs="Arial"/>
              </w:rPr>
              <w:t>webový přístup pro všechny zaměstnance do prostředí zaměstnaneckého portálu</w:t>
            </w:r>
          </w:p>
        </w:tc>
        <w:tc>
          <w:tcPr>
            <w:tcW w:w="1276" w:type="dxa"/>
            <w:noWrap/>
          </w:tcPr>
          <w:p w14:paraId="45344914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01E45C16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3FE4D5F6" w14:textId="77777777" w:rsidTr="002255F4">
        <w:trPr>
          <w:trHeight w:val="300"/>
        </w:trPr>
        <w:tc>
          <w:tcPr>
            <w:tcW w:w="5920" w:type="dxa"/>
          </w:tcPr>
          <w:p w14:paraId="07543408" w14:textId="77777777" w:rsidR="002255F4" w:rsidRPr="001B6C3B" w:rsidRDefault="002255F4" w:rsidP="001F47FF">
            <w:pPr>
              <w:pStyle w:val="Bezmezer"/>
            </w:pPr>
            <w:r>
              <w:rPr>
                <w:rFonts w:cs="Arial"/>
              </w:rPr>
              <w:t>z</w:t>
            </w:r>
            <w:r w:rsidRPr="00F26E0E">
              <w:rPr>
                <w:rFonts w:cs="Arial"/>
              </w:rPr>
              <w:t>achování všech historických údajů o zaměstnancích</w:t>
            </w:r>
          </w:p>
        </w:tc>
        <w:tc>
          <w:tcPr>
            <w:tcW w:w="1276" w:type="dxa"/>
            <w:noWrap/>
          </w:tcPr>
          <w:p w14:paraId="445CCBA8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6FDC113" w14:textId="77777777" w:rsidR="002255F4" w:rsidRPr="009D3B86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269D2E72" w14:textId="77777777" w:rsidTr="002255F4">
        <w:trPr>
          <w:trHeight w:val="300"/>
        </w:trPr>
        <w:tc>
          <w:tcPr>
            <w:tcW w:w="5920" w:type="dxa"/>
            <w:hideMark/>
          </w:tcPr>
          <w:p w14:paraId="48F112F6" w14:textId="77777777" w:rsidR="002255F4" w:rsidRPr="00194675" w:rsidRDefault="002255F4" w:rsidP="001F47FF">
            <w:pPr>
              <w:pStyle w:val="Bezmezer"/>
              <w:rPr>
                <w:highlight w:val="yellow"/>
              </w:rPr>
            </w:pPr>
            <w:r>
              <w:rPr>
                <w:rFonts w:cs="Arial"/>
              </w:rPr>
              <w:t>m</w:t>
            </w:r>
            <w:r w:rsidRPr="00F26E0E">
              <w:rPr>
                <w:rFonts w:cs="Arial"/>
              </w:rPr>
              <w:t>ožnost práce na více formulářích najednou (např. otevření více zaměstnanců na více záložkách) v jednom okně aplikace</w:t>
            </w:r>
          </w:p>
        </w:tc>
        <w:tc>
          <w:tcPr>
            <w:tcW w:w="1276" w:type="dxa"/>
            <w:noWrap/>
          </w:tcPr>
          <w:p w14:paraId="637143FA" w14:textId="77777777" w:rsidR="002255F4" w:rsidRPr="009D3B86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0B49BB25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4D663C23" w14:textId="77777777" w:rsidTr="002255F4">
        <w:trPr>
          <w:trHeight w:val="300"/>
        </w:trPr>
        <w:tc>
          <w:tcPr>
            <w:tcW w:w="5920" w:type="dxa"/>
          </w:tcPr>
          <w:p w14:paraId="770B8122" w14:textId="77777777" w:rsidR="002255F4" w:rsidRPr="00194675" w:rsidRDefault="002255F4" w:rsidP="0021464B">
            <w:pPr>
              <w:pStyle w:val="Bezmezer"/>
              <w:rPr>
                <w:highlight w:val="yellow"/>
              </w:rPr>
            </w:pPr>
            <w:r>
              <w:rPr>
                <w:rFonts w:cs="Arial"/>
              </w:rPr>
              <w:t>m</w:t>
            </w:r>
            <w:r w:rsidRPr="00F26E0E">
              <w:rPr>
                <w:rFonts w:cs="Arial"/>
              </w:rPr>
              <w:t>ožnost nadefinování vlastních polí (příznak, zda se jedná o povinně vyplňované pole nebo ne; možnost definice formátu pole – částka, číslo, seznam, datum) nezávisle na dodavateli</w:t>
            </w:r>
          </w:p>
        </w:tc>
        <w:tc>
          <w:tcPr>
            <w:tcW w:w="1276" w:type="dxa"/>
            <w:noWrap/>
          </w:tcPr>
          <w:p w14:paraId="0F65FEA0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6E5EA9C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6BE035CD" w14:textId="77777777" w:rsidTr="002255F4">
        <w:trPr>
          <w:trHeight w:val="300"/>
        </w:trPr>
        <w:tc>
          <w:tcPr>
            <w:tcW w:w="5920" w:type="dxa"/>
          </w:tcPr>
          <w:p w14:paraId="661DDFE8" w14:textId="77777777" w:rsidR="002255F4" w:rsidRPr="00194675" w:rsidRDefault="002255F4" w:rsidP="00D80748">
            <w:pPr>
              <w:pStyle w:val="Bezmezer"/>
              <w:rPr>
                <w:highlight w:val="yellow"/>
              </w:rPr>
            </w:pPr>
            <w:r>
              <w:rPr>
                <w:rFonts w:cs="Arial"/>
              </w:rPr>
              <w:t>m</w:t>
            </w:r>
            <w:r w:rsidRPr="00F26E0E">
              <w:rPr>
                <w:rFonts w:cs="Arial"/>
              </w:rPr>
              <w:t>ožnost uživatelského importu, exportu a použití do uživatelských sestav vlastních polí</w:t>
            </w:r>
          </w:p>
        </w:tc>
        <w:tc>
          <w:tcPr>
            <w:tcW w:w="1276" w:type="dxa"/>
            <w:noWrap/>
          </w:tcPr>
          <w:p w14:paraId="2323B547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2BEE3125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396647B7" w14:textId="77777777" w:rsidTr="002255F4">
        <w:trPr>
          <w:trHeight w:val="300"/>
        </w:trPr>
        <w:tc>
          <w:tcPr>
            <w:tcW w:w="5920" w:type="dxa"/>
          </w:tcPr>
          <w:p w14:paraId="137CDFC1" w14:textId="77777777" w:rsidR="002255F4" w:rsidRDefault="002255F4" w:rsidP="00D80748">
            <w:pPr>
              <w:pStyle w:val="Bezmezer"/>
              <w:rPr>
                <w:rFonts w:cs="Arial"/>
              </w:rPr>
            </w:pPr>
            <w:r w:rsidRPr="00F26E0E">
              <w:rPr>
                <w:rFonts w:cs="Arial"/>
              </w:rPr>
              <w:t>rozšíření o další moduly bez nutnosti instalace systému</w:t>
            </w:r>
          </w:p>
        </w:tc>
        <w:tc>
          <w:tcPr>
            <w:tcW w:w="1276" w:type="dxa"/>
            <w:noWrap/>
          </w:tcPr>
          <w:p w14:paraId="38A0A058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05341069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17A2145C" w14:textId="77777777" w:rsidTr="002255F4">
        <w:trPr>
          <w:trHeight w:val="300"/>
        </w:trPr>
        <w:tc>
          <w:tcPr>
            <w:tcW w:w="5920" w:type="dxa"/>
          </w:tcPr>
          <w:p w14:paraId="23D9FA78" w14:textId="77777777" w:rsidR="002255F4" w:rsidRPr="00F26E0E" w:rsidRDefault="002255F4" w:rsidP="00D80748">
            <w:pPr>
              <w:pStyle w:val="Bezmezer"/>
              <w:rPr>
                <w:rFonts w:cs="Arial"/>
              </w:rPr>
            </w:pPr>
            <w:r>
              <w:rPr>
                <w:b/>
                <w:noProof/>
                <w:lang w:eastAsia="cs-CZ"/>
              </w:rPr>
              <w:t>Technické požadavky na systém</w:t>
            </w:r>
          </w:p>
        </w:tc>
        <w:tc>
          <w:tcPr>
            <w:tcW w:w="1276" w:type="dxa"/>
            <w:noWrap/>
          </w:tcPr>
          <w:p w14:paraId="7C6A8FE7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F1F879B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6F08DCDD" w14:textId="77777777" w:rsidTr="002255F4">
        <w:trPr>
          <w:trHeight w:val="300"/>
        </w:trPr>
        <w:tc>
          <w:tcPr>
            <w:tcW w:w="5920" w:type="dxa"/>
          </w:tcPr>
          <w:p w14:paraId="3FF3D91A" w14:textId="77777777" w:rsidR="002255F4" w:rsidRPr="00942B19" w:rsidRDefault="002255F4" w:rsidP="00364257">
            <w:pPr>
              <w:pStyle w:val="Bezmezer"/>
            </w:pPr>
            <w:r w:rsidRPr="00942B19">
              <w:t>Podpora aplikačního prostředí klientské části:</w:t>
            </w:r>
          </w:p>
          <w:p w14:paraId="08DC7F75" w14:textId="77777777" w:rsidR="002255F4" w:rsidRPr="00942B19" w:rsidRDefault="002255F4" w:rsidP="00364257">
            <w:pPr>
              <w:pStyle w:val="Bezmezer"/>
              <w:numPr>
                <w:ilvl w:val="1"/>
                <w:numId w:val="21"/>
              </w:numPr>
              <w:rPr>
                <w:b/>
                <w:noProof/>
                <w:lang w:eastAsia="cs-CZ"/>
              </w:rPr>
            </w:pPr>
            <w:r w:rsidRPr="00942B19">
              <w:t xml:space="preserve">Windows </w:t>
            </w:r>
            <w:r>
              <w:t>10</w:t>
            </w:r>
            <w:r w:rsidRPr="00942B19">
              <w:t xml:space="preserve"> a vyšší</w:t>
            </w:r>
          </w:p>
          <w:p w14:paraId="0E126A26" w14:textId="6B7C27AF" w:rsidR="002255F4" w:rsidRPr="00942B19" w:rsidRDefault="002255F4" w:rsidP="007D34FC">
            <w:pPr>
              <w:pStyle w:val="Bezmezer"/>
              <w:numPr>
                <w:ilvl w:val="1"/>
                <w:numId w:val="21"/>
              </w:numPr>
              <w:rPr>
                <w:b/>
                <w:noProof/>
                <w:lang w:eastAsia="cs-CZ"/>
              </w:rPr>
            </w:pPr>
            <w:r>
              <w:t xml:space="preserve">Chrome, </w:t>
            </w:r>
            <w:r w:rsidR="00DD1919">
              <w:t xml:space="preserve">Edge </w:t>
            </w:r>
          </w:p>
        </w:tc>
        <w:tc>
          <w:tcPr>
            <w:tcW w:w="1276" w:type="dxa"/>
            <w:noWrap/>
          </w:tcPr>
          <w:p w14:paraId="737EE195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5A110A8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4A747832" w14:textId="77777777" w:rsidTr="002255F4">
        <w:trPr>
          <w:trHeight w:val="300"/>
        </w:trPr>
        <w:tc>
          <w:tcPr>
            <w:tcW w:w="5920" w:type="dxa"/>
          </w:tcPr>
          <w:p w14:paraId="420DF056" w14:textId="77777777" w:rsidR="002255F4" w:rsidRPr="00942B19" w:rsidRDefault="002255F4" w:rsidP="00364257">
            <w:pPr>
              <w:pStyle w:val="Bezmezer"/>
            </w:pPr>
            <w:r w:rsidRPr="00942B19">
              <w:t>Podpora prostředí databázového serveru</w:t>
            </w:r>
          </w:p>
          <w:p w14:paraId="2BC9FC5E" w14:textId="77777777" w:rsidR="002255F4" w:rsidRPr="00942B19" w:rsidRDefault="002255F4" w:rsidP="00364257">
            <w:pPr>
              <w:pStyle w:val="Bezmezer"/>
              <w:numPr>
                <w:ilvl w:val="1"/>
                <w:numId w:val="21"/>
              </w:numPr>
            </w:pPr>
            <w:r>
              <w:t>DEBIAN/KVM</w:t>
            </w:r>
          </w:p>
          <w:p w14:paraId="7EE375EA" w14:textId="77777777" w:rsidR="002255F4" w:rsidRPr="00942B19" w:rsidRDefault="002255F4" w:rsidP="00364257">
            <w:pPr>
              <w:pStyle w:val="Bezmezer"/>
              <w:numPr>
                <w:ilvl w:val="1"/>
                <w:numId w:val="21"/>
              </w:numPr>
              <w:rPr>
                <w:b/>
                <w:noProof/>
                <w:lang w:eastAsia="cs-CZ"/>
              </w:rPr>
            </w:pPr>
            <w:r w:rsidRPr="00942B19">
              <w:t>MS SQL 20</w:t>
            </w:r>
            <w:r>
              <w:t>16 a novější</w:t>
            </w:r>
          </w:p>
          <w:p w14:paraId="772F950E" w14:textId="77777777" w:rsidR="002255F4" w:rsidRPr="00942B19" w:rsidRDefault="002255F4" w:rsidP="007D34FC">
            <w:pPr>
              <w:pStyle w:val="Bezmezer"/>
              <w:numPr>
                <w:ilvl w:val="1"/>
                <w:numId w:val="21"/>
              </w:numPr>
              <w:rPr>
                <w:b/>
                <w:noProof/>
                <w:lang w:eastAsia="cs-CZ"/>
              </w:rPr>
            </w:pPr>
            <w:r w:rsidRPr="00942B19">
              <w:t>MS WIN Server 20</w:t>
            </w:r>
            <w:r>
              <w:t>16</w:t>
            </w:r>
            <w:r w:rsidRPr="00942B19">
              <w:t>; 64 bit a vyšší</w:t>
            </w:r>
          </w:p>
        </w:tc>
        <w:tc>
          <w:tcPr>
            <w:tcW w:w="1276" w:type="dxa"/>
            <w:noWrap/>
          </w:tcPr>
          <w:p w14:paraId="77762E72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0BE0CF11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38AF303A" w14:textId="77777777" w:rsidTr="002255F4">
        <w:trPr>
          <w:trHeight w:val="300"/>
        </w:trPr>
        <w:tc>
          <w:tcPr>
            <w:tcW w:w="5920" w:type="dxa"/>
          </w:tcPr>
          <w:p w14:paraId="7133F8C4" w14:textId="77777777" w:rsidR="002255F4" w:rsidRPr="00942B19" w:rsidRDefault="002255F4" w:rsidP="00364257">
            <w:pPr>
              <w:pStyle w:val="Bezmezer"/>
            </w:pPr>
            <w:r w:rsidRPr="00942B19">
              <w:t>Podpora prostředí aplikačního serveru</w:t>
            </w:r>
          </w:p>
          <w:p w14:paraId="71DB78E7" w14:textId="77777777" w:rsidR="002255F4" w:rsidRPr="00942B19" w:rsidRDefault="002255F4" w:rsidP="00364257">
            <w:pPr>
              <w:pStyle w:val="Bezmezer"/>
              <w:numPr>
                <w:ilvl w:val="1"/>
                <w:numId w:val="21"/>
              </w:numPr>
            </w:pPr>
            <w:r>
              <w:t>DEBIAN/KVM</w:t>
            </w:r>
          </w:p>
          <w:p w14:paraId="0BBA1FF2" w14:textId="77777777" w:rsidR="002255F4" w:rsidRPr="00942B19" w:rsidRDefault="002255F4" w:rsidP="007D34FC">
            <w:pPr>
              <w:pStyle w:val="Bezmezer"/>
              <w:numPr>
                <w:ilvl w:val="1"/>
                <w:numId w:val="21"/>
              </w:numPr>
            </w:pPr>
            <w:r w:rsidRPr="00942B19">
              <w:t>MS WIN Server 20</w:t>
            </w:r>
            <w:r>
              <w:t>16</w:t>
            </w:r>
            <w:r w:rsidRPr="00942B19">
              <w:t>; 64 bit a vyšší</w:t>
            </w:r>
          </w:p>
        </w:tc>
        <w:tc>
          <w:tcPr>
            <w:tcW w:w="1276" w:type="dxa"/>
            <w:noWrap/>
          </w:tcPr>
          <w:p w14:paraId="7E683B49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7FB75E72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0EECFCCF" w14:textId="77777777" w:rsidTr="002255F4">
        <w:trPr>
          <w:trHeight w:val="300"/>
        </w:trPr>
        <w:tc>
          <w:tcPr>
            <w:tcW w:w="5920" w:type="dxa"/>
          </w:tcPr>
          <w:p w14:paraId="33DA01CE" w14:textId="77777777" w:rsidR="002255F4" w:rsidRDefault="002255F4" w:rsidP="00D80748">
            <w:pPr>
              <w:pStyle w:val="Bezmezer"/>
              <w:rPr>
                <w:b/>
                <w:noProof/>
                <w:lang w:eastAsia="cs-CZ"/>
              </w:rPr>
            </w:pPr>
            <w:r>
              <w:t>Systém musí být schopen pracovat s garantovanou funkčností bez přímé konektivity k internetu (bezpečnostní požadavek). Pokud produkt vyžaduje připojení k internetu pro update a vzdálenou správu, je nutné, aby uchazeč zajistil soulad auditních a autentizačních procesů s politikou zadavatele</w:t>
            </w:r>
          </w:p>
        </w:tc>
        <w:tc>
          <w:tcPr>
            <w:tcW w:w="1276" w:type="dxa"/>
            <w:noWrap/>
          </w:tcPr>
          <w:p w14:paraId="4D84026B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C5DA0C1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1E61CE72" w14:textId="77777777" w:rsidTr="002255F4">
        <w:trPr>
          <w:trHeight w:val="300"/>
        </w:trPr>
        <w:tc>
          <w:tcPr>
            <w:tcW w:w="5920" w:type="dxa"/>
          </w:tcPr>
          <w:p w14:paraId="34AB4BDE" w14:textId="77777777" w:rsidR="002255F4" w:rsidRPr="00364257" w:rsidRDefault="002255F4" w:rsidP="00364257">
            <w:pPr>
              <w:pStyle w:val="Bezmezer"/>
            </w:pPr>
            <w:r>
              <w:t>klientský SW (všechny typy klientů) musí být schopni pracovat bez instalace na koncové stanice</w:t>
            </w:r>
          </w:p>
        </w:tc>
        <w:tc>
          <w:tcPr>
            <w:tcW w:w="1276" w:type="dxa"/>
            <w:noWrap/>
          </w:tcPr>
          <w:p w14:paraId="2A8A661B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A7BE736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378F0B37" w14:textId="77777777" w:rsidTr="002255F4">
        <w:trPr>
          <w:trHeight w:val="300"/>
        </w:trPr>
        <w:tc>
          <w:tcPr>
            <w:tcW w:w="5920" w:type="dxa"/>
          </w:tcPr>
          <w:p w14:paraId="2939BE5D" w14:textId="77777777" w:rsidR="002255F4" w:rsidRPr="00364257" w:rsidRDefault="002255F4" w:rsidP="00364257">
            <w:pPr>
              <w:pStyle w:val="Bezmezer"/>
            </w:pPr>
            <w:r>
              <w:t>součástí dodávky je administrátorská dokumentace včetně plánu obnovení</w:t>
            </w:r>
          </w:p>
        </w:tc>
        <w:tc>
          <w:tcPr>
            <w:tcW w:w="1276" w:type="dxa"/>
            <w:noWrap/>
          </w:tcPr>
          <w:p w14:paraId="2748AC2F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2A025BF8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1F6A45D1" w14:textId="77777777" w:rsidTr="002255F4">
        <w:trPr>
          <w:trHeight w:val="300"/>
        </w:trPr>
        <w:tc>
          <w:tcPr>
            <w:tcW w:w="5920" w:type="dxa"/>
          </w:tcPr>
          <w:p w14:paraId="05AE19D2" w14:textId="77777777" w:rsidR="002255F4" w:rsidRPr="00364257" w:rsidRDefault="002255F4" w:rsidP="00364257">
            <w:pPr>
              <w:pStyle w:val="Bezmezer"/>
            </w:pPr>
            <w:r>
              <w:t>správa uživatelů systému (mimo přiřazení role v rámci dodaného SW) integrována s AD (systém nesmí obsahovat oddělený, lokální identity management)</w:t>
            </w:r>
          </w:p>
        </w:tc>
        <w:tc>
          <w:tcPr>
            <w:tcW w:w="1276" w:type="dxa"/>
            <w:noWrap/>
          </w:tcPr>
          <w:p w14:paraId="032142CB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2E0C0D62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443A0DCE" w14:textId="77777777" w:rsidTr="002255F4">
        <w:trPr>
          <w:trHeight w:val="300"/>
        </w:trPr>
        <w:tc>
          <w:tcPr>
            <w:tcW w:w="5920" w:type="dxa"/>
          </w:tcPr>
          <w:p w14:paraId="4B052BE8" w14:textId="77777777" w:rsidR="002255F4" w:rsidRDefault="002255F4" w:rsidP="00364257">
            <w:pPr>
              <w:pStyle w:val="Bezmezer"/>
            </w:pPr>
            <w:r>
              <w:t xml:space="preserve">Propojení na MS Exchange 2016 (podpora 2019) za účelem zasílání emailových notifikací žádostí zaměstnanců a zasílání kalendářových událostí do kalendáře uživatelů/zaměstnanců  </w:t>
            </w:r>
          </w:p>
        </w:tc>
        <w:tc>
          <w:tcPr>
            <w:tcW w:w="1276" w:type="dxa"/>
            <w:noWrap/>
          </w:tcPr>
          <w:p w14:paraId="207239FA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926E55D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6C57C0C9" w14:textId="77777777" w:rsidTr="002255F4">
        <w:trPr>
          <w:trHeight w:val="300"/>
        </w:trPr>
        <w:tc>
          <w:tcPr>
            <w:tcW w:w="5920" w:type="dxa"/>
          </w:tcPr>
          <w:p w14:paraId="02307CB2" w14:textId="77777777" w:rsidR="002255F4" w:rsidRPr="00364257" w:rsidRDefault="002255F4" w:rsidP="00364257">
            <w:pPr>
              <w:pStyle w:val="Bezmezer"/>
            </w:pPr>
            <w:r>
              <w:t>uživatelé budou autentizováni principem single sign on – budou přebírány informace z přihlášení do operačního systému pracovní stanice a nebude po nich vyžadováno jméno a heslo</w:t>
            </w:r>
          </w:p>
        </w:tc>
        <w:tc>
          <w:tcPr>
            <w:tcW w:w="1276" w:type="dxa"/>
            <w:noWrap/>
          </w:tcPr>
          <w:p w14:paraId="192C5883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54C54A2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01A9BF6A" w14:textId="77777777" w:rsidTr="002255F4">
        <w:trPr>
          <w:trHeight w:val="300"/>
        </w:trPr>
        <w:tc>
          <w:tcPr>
            <w:tcW w:w="5920" w:type="dxa"/>
          </w:tcPr>
          <w:p w14:paraId="7D8BDB79" w14:textId="77777777" w:rsidR="002255F4" w:rsidRPr="00364257" w:rsidRDefault="002255F4" w:rsidP="00364257">
            <w:pPr>
              <w:pStyle w:val="Bezmezer"/>
            </w:pPr>
            <w:r>
              <w:lastRenderedPageBreak/>
              <w:t>Možnost transparentního šifrování dat ukládaných v databázi</w:t>
            </w:r>
          </w:p>
        </w:tc>
        <w:tc>
          <w:tcPr>
            <w:tcW w:w="1276" w:type="dxa"/>
            <w:noWrap/>
          </w:tcPr>
          <w:p w14:paraId="796FA5EB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4B3D170A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308FF492" w14:textId="77777777" w:rsidTr="002255F4">
        <w:trPr>
          <w:trHeight w:val="300"/>
        </w:trPr>
        <w:tc>
          <w:tcPr>
            <w:tcW w:w="5920" w:type="dxa"/>
          </w:tcPr>
          <w:p w14:paraId="682104BF" w14:textId="77777777" w:rsidR="002255F4" w:rsidRPr="00364257" w:rsidRDefault="002255F4" w:rsidP="00364257">
            <w:pPr>
              <w:pStyle w:val="Bezmezer"/>
            </w:pPr>
            <w:r>
              <w:t xml:space="preserve">Možnost rozdělení zodpovědnosti při správě databáze, pomocí kterého bude možné zamezit databázovým administrátorům v přístupu k citlivým/osobním údajům </w:t>
            </w:r>
          </w:p>
        </w:tc>
        <w:tc>
          <w:tcPr>
            <w:tcW w:w="1276" w:type="dxa"/>
            <w:noWrap/>
          </w:tcPr>
          <w:p w14:paraId="55BFF8EA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40BD1308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393567B1" w14:textId="77777777" w:rsidTr="002255F4">
        <w:trPr>
          <w:trHeight w:val="300"/>
        </w:trPr>
        <w:tc>
          <w:tcPr>
            <w:tcW w:w="5920" w:type="dxa"/>
          </w:tcPr>
          <w:p w14:paraId="1DA656A3" w14:textId="6AE86FB7" w:rsidR="006C26EA" w:rsidRPr="00364257" w:rsidRDefault="002255F4" w:rsidP="00364257">
            <w:pPr>
              <w:pStyle w:val="Bezmezer"/>
            </w:pPr>
            <w:r>
              <w:t>Přístup klientů do databáze přes ODBC nebo JDBC rozhraní</w:t>
            </w:r>
          </w:p>
        </w:tc>
        <w:tc>
          <w:tcPr>
            <w:tcW w:w="1276" w:type="dxa"/>
            <w:noWrap/>
          </w:tcPr>
          <w:p w14:paraId="11567DA4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E1EA890" w14:textId="77777777" w:rsidR="002255F4" w:rsidRPr="009D3B86" w:rsidRDefault="002255F4" w:rsidP="001F47FF">
            <w:pPr>
              <w:rPr>
                <w:b/>
                <w:bCs/>
              </w:rPr>
            </w:pPr>
          </w:p>
        </w:tc>
      </w:tr>
      <w:tr w:rsidR="002255F4" w:rsidRPr="009D3B86" w14:paraId="58A11752" w14:textId="77777777" w:rsidTr="002255F4">
        <w:trPr>
          <w:trHeight w:val="468"/>
        </w:trPr>
        <w:tc>
          <w:tcPr>
            <w:tcW w:w="5920" w:type="dxa"/>
            <w:noWrap/>
            <w:hideMark/>
          </w:tcPr>
          <w:p w14:paraId="50D7C0CD" w14:textId="77777777" w:rsidR="002255F4" w:rsidRPr="009D3B86" w:rsidRDefault="002255F4" w:rsidP="001F47FF">
            <w:pPr>
              <w:rPr>
                <w:b/>
                <w:bCs/>
                <w:i/>
                <w:iCs/>
              </w:rPr>
            </w:pPr>
            <w:r w:rsidRPr="009D3B86">
              <w:rPr>
                <w:b/>
                <w:bCs/>
                <w:i/>
                <w:iCs/>
              </w:rPr>
              <w:t>Věcné požadavky oblast personalistiky</w:t>
            </w:r>
          </w:p>
        </w:tc>
        <w:tc>
          <w:tcPr>
            <w:tcW w:w="1276" w:type="dxa"/>
            <w:hideMark/>
          </w:tcPr>
          <w:p w14:paraId="000C479A" w14:textId="77777777" w:rsidR="002255F4" w:rsidRPr="009D3B86" w:rsidRDefault="002255F4" w:rsidP="001F47FF">
            <w:pPr>
              <w:rPr>
                <w:b/>
                <w:bCs/>
                <w:i/>
                <w:iCs/>
                <w:sz w:val="18"/>
              </w:rPr>
            </w:pPr>
            <w:r w:rsidRPr="009D3B86">
              <w:rPr>
                <w:b/>
                <w:bCs/>
                <w:i/>
                <w:iCs/>
                <w:sz w:val="18"/>
              </w:rPr>
              <w:t>splňuje ve standardu</w:t>
            </w:r>
          </w:p>
        </w:tc>
        <w:tc>
          <w:tcPr>
            <w:tcW w:w="1329" w:type="dxa"/>
            <w:hideMark/>
          </w:tcPr>
          <w:p w14:paraId="72238B3A" w14:textId="77777777" w:rsidR="002255F4" w:rsidRPr="009D3B86" w:rsidRDefault="002255F4" w:rsidP="001F47FF">
            <w:pPr>
              <w:rPr>
                <w:b/>
                <w:bCs/>
                <w:i/>
                <w:iCs/>
                <w:sz w:val="18"/>
              </w:rPr>
            </w:pPr>
            <w:r w:rsidRPr="009D3B86">
              <w:rPr>
                <w:b/>
                <w:bCs/>
                <w:i/>
                <w:iCs/>
                <w:sz w:val="18"/>
              </w:rPr>
              <w:t>specifická konfigurace</w:t>
            </w:r>
          </w:p>
        </w:tc>
      </w:tr>
      <w:tr w:rsidR="002255F4" w:rsidRPr="009D3B86" w14:paraId="51BA6147" w14:textId="77777777" w:rsidTr="002255F4">
        <w:trPr>
          <w:trHeight w:val="510"/>
        </w:trPr>
        <w:tc>
          <w:tcPr>
            <w:tcW w:w="5920" w:type="dxa"/>
          </w:tcPr>
          <w:p w14:paraId="370897F4" w14:textId="77777777" w:rsidR="002255F4" w:rsidRPr="009D3B86" w:rsidRDefault="002255F4" w:rsidP="008446F1">
            <w:pPr>
              <w:pStyle w:val="Bezmezer"/>
            </w:pPr>
            <w:r>
              <w:rPr>
                <w:rFonts w:cs="Arial"/>
              </w:rPr>
              <w:t>p</w:t>
            </w:r>
            <w:r w:rsidRPr="00E55ADC">
              <w:rPr>
                <w:rFonts w:cs="Arial"/>
              </w:rPr>
              <w:t xml:space="preserve">řehledná a intuitivní evidence všech informací </w:t>
            </w:r>
            <w:r>
              <w:rPr>
                <w:rFonts w:cs="Arial"/>
              </w:rPr>
              <w:t>o zaměstnanci včetně historie</w:t>
            </w:r>
          </w:p>
        </w:tc>
        <w:tc>
          <w:tcPr>
            <w:tcW w:w="1276" w:type="dxa"/>
            <w:noWrap/>
          </w:tcPr>
          <w:p w14:paraId="5FBA4C72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0913A555" w14:textId="77777777" w:rsidR="002255F4" w:rsidRPr="009D3B86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2C53EE" w14:paraId="30E88F9F" w14:textId="77777777" w:rsidTr="002255F4">
        <w:trPr>
          <w:trHeight w:val="510"/>
        </w:trPr>
        <w:tc>
          <w:tcPr>
            <w:tcW w:w="5920" w:type="dxa"/>
          </w:tcPr>
          <w:p w14:paraId="7632D1DB" w14:textId="77777777" w:rsidR="002255F4" w:rsidRPr="009D3B86" w:rsidRDefault="002255F4" w:rsidP="00364257">
            <w:pPr>
              <w:pStyle w:val="Bezmezer"/>
              <w:numPr>
                <w:ilvl w:val="1"/>
                <w:numId w:val="21"/>
              </w:numPr>
            </w:pPr>
            <w:r w:rsidRPr="00364257">
              <w:t>osobní a kontaktní údaje, vzdělání, údaje o pracovním poměru a sjednané mzdě, zadání započítané praxe, slevy na dani, způsoby zdanění a odvody pojistného, pravidelné srážky</w:t>
            </w:r>
          </w:p>
        </w:tc>
        <w:tc>
          <w:tcPr>
            <w:tcW w:w="1276" w:type="dxa"/>
            <w:noWrap/>
          </w:tcPr>
          <w:p w14:paraId="16A9C26F" w14:textId="77777777" w:rsidR="002255F4" w:rsidRPr="002C53EE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0994EA2E" w14:textId="77777777" w:rsidR="002255F4" w:rsidRPr="002C53EE" w:rsidRDefault="002255F4" w:rsidP="002C53EE">
            <w:pPr>
              <w:pStyle w:val="Bezmezer"/>
            </w:pPr>
          </w:p>
        </w:tc>
      </w:tr>
      <w:tr w:rsidR="002255F4" w:rsidRPr="009D3B86" w14:paraId="5BACE0DB" w14:textId="77777777" w:rsidTr="002255F4">
        <w:trPr>
          <w:trHeight w:val="300"/>
        </w:trPr>
        <w:tc>
          <w:tcPr>
            <w:tcW w:w="5920" w:type="dxa"/>
          </w:tcPr>
          <w:p w14:paraId="64DAA758" w14:textId="77777777" w:rsidR="002255F4" w:rsidRPr="009D3B86" w:rsidRDefault="002255F4" w:rsidP="001F47FF">
            <w:pPr>
              <w:pStyle w:val="Bezmezer"/>
            </w:pPr>
            <w:r>
              <w:rPr>
                <w:rFonts w:cs="Arial"/>
              </w:rPr>
              <w:t>p</w:t>
            </w:r>
            <w:r w:rsidRPr="00E55ADC">
              <w:rPr>
                <w:rFonts w:cs="Arial"/>
              </w:rPr>
              <w:t>řehledná evidence více souběžných pracovně právních vztahů</w:t>
            </w:r>
          </w:p>
        </w:tc>
        <w:tc>
          <w:tcPr>
            <w:tcW w:w="1276" w:type="dxa"/>
            <w:noWrap/>
          </w:tcPr>
          <w:p w14:paraId="3352B9FB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07B591F4" w14:textId="77777777" w:rsidR="002255F4" w:rsidRPr="009D3B86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71F1AB1E" w14:textId="77777777" w:rsidTr="002255F4">
        <w:trPr>
          <w:trHeight w:val="300"/>
        </w:trPr>
        <w:tc>
          <w:tcPr>
            <w:tcW w:w="5920" w:type="dxa"/>
          </w:tcPr>
          <w:p w14:paraId="123B19A3" w14:textId="77777777" w:rsidR="002255F4" w:rsidRDefault="002255F4" w:rsidP="001F47FF">
            <w:pPr>
              <w:pStyle w:val="Bezmezer"/>
              <w:rPr>
                <w:rFonts w:cs="Arial"/>
              </w:rPr>
            </w:pPr>
            <w:r>
              <w:t>z</w:t>
            </w:r>
            <w:r w:rsidRPr="009D3B86">
              <w:t>ápočet praxe</w:t>
            </w:r>
          </w:p>
        </w:tc>
        <w:tc>
          <w:tcPr>
            <w:tcW w:w="1276" w:type="dxa"/>
            <w:noWrap/>
          </w:tcPr>
          <w:p w14:paraId="00534129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14F76530" w14:textId="77777777" w:rsidR="002255F4" w:rsidRPr="009D3B86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43E99B84" w14:textId="77777777" w:rsidTr="002255F4">
        <w:trPr>
          <w:trHeight w:val="515"/>
        </w:trPr>
        <w:tc>
          <w:tcPr>
            <w:tcW w:w="5920" w:type="dxa"/>
          </w:tcPr>
          <w:p w14:paraId="5F3E8D72" w14:textId="77777777" w:rsidR="002255F4" w:rsidRPr="009D3B86" w:rsidRDefault="002255F4" w:rsidP="001F47FF">
            <w:pPr>
              <w:pStyle w:val="Bezmezer"/>
            </w:pPr>
            <w:r>
              <w:rPr>
                <w:rFonts w:cs="Arial"/>
              </w:rPr>
              <w:t>podpora p</w:t>
            </w:r>
            <w:r w:rsidRPr="00D50CE0">
              <w:rPr>
                <w:rFonts w:cs="Arial"/>
              </w:rPr>
              <w:t>roces</w:t>
            </w:r>
            <w:r>
              <w:rPr>
                <w:rFonts w:cs="Arial"/>
              </w:rPr>
              <w:t xml:space="preserve">u </w:t>
            </w:r>
            <w:r w:rsidRPr="00D50CE0">
              <w:rPr>
                <w:rFonts w:cs="Arial"/>
              </w:rPr>
              <w:t>pro žádost o založení nového pracovního místa přes zaměstnanecký portál</w:t>
            </w:r>
          </w:p>
        </w:tc>
        <w:tc>
          <w:tcPr>
            <w:tcW w:w="1276" w:type="dxa"/>
            <w:noWrap/>
          </w:tcPr>
          <w:p w14:paraId="7DC541E0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137D2B0F" w14:textId="77777777" w:rsidR="002255F4" w:rsidRPr="009D3B86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48495B4A" w14:textId="77777777" w:rsidTr="002255F4">
        <w:trPr>
          <w:trHeight w:val="300"/>
        </w:trPr>
        <w:tc>
          <w:tcPr>
            <w:tcW w:w="5920" w:type="dxa"/>
          </w:tcPr>
          <w:p w14:paraId="73FFF237" w14:textId="77777777" w:rsidR="002255F4" w:rsidRPr="009D3B86" w:rsidRDefault="002255F4" w:rsidP="001F47FF">
            <w:pPr>
              <w:pStyle w:val="Bezmezer"/>
            </w:pPr>
            <w:r>
              <w:rPr>
                <w:rFonts w:cs="Arial"/>
              </w:rPr>
              <w:t>m</w:t>
            </w:r>
            <w:r w:rsidRPr="00E55ADC">
              <w:rPr>
                <w:rFonts w:cs="Arial"/>
              </w:rPr>
              <w:t>ožnost definování vlastních polí v požadovaném formátu</w:t>
            </w:r>
          </w:p>
        </w:tc>
        <w:tc>
          <w:tcPr>
            <w:tcW w:w="1276" w:type="dxa"/>
            <w:noWrap/>
          </w:tcPr>
          <w:p w14:paraId="3CFC0AF6" w14:textId="77777777" w:rsidR="002255F4" w:rsidRPr="00DB40D3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2C3D5742" w14:textId="77777777" w:rsidR="002255F4" w:rsidRPr="00DB40D3" w:rsidRDefault="002255F4" w:rsidP="001F47FF">
            <w:pPr>
              <w:spacing w:after="0"/>
            </w:pPr>
          </w:p>
        </w:tc>
      </w:tr>
      <w:tr w:rsidR="002255F4" w:rsidRPr="009D3B86" w14:paraId="1C4DAB82" w14:textId="77777777" w:rsidTr="002255F4">
        <w:trPr>
          <w:trHeight w:val="300"/>
        </w:trPr>
        <w:tc>
          <w:tcPr>
            <w:tcW w:w="5920" w:type="dxa"/>
          </w:tcPr>
          <w:p w14:paraId="413FF755" w14:textId="77777777" w:rsidR="002255F4" w:rsidRPr="009D3B86" w:rsidRDefault="002255F4" w:rsidP="001F47FF">
            <w:pPr>
              <w:pStyle w:val="Bezmezer"/>
            </w:pPr>
            <w:r>
              <w:rPr>
                <w:rFonts w:cs="Arial"/>
              </w:rPr>
              <w:t>a</w:t>
            </w:r>
            <w:r w:rsidRPr="00E55ADC">
              <w:rPr>
                <w:rFonts w:cs="Arial"/>
              </w:rPr>
              <w:t xml:space="preserve">utomatické upozorňování na konec platnosti požadavků kladených na zaměstnance </w:t>
            </w:r>
            <w:r>
              <w:rPr>
                <w:rFonts w:cs="Arial"/>
              </w:rPr>
              <w:t xml:space="preserve">pomocí přehledného zobrazení </w:t>
            </w:r>
            <w:r w:rsidRPr="00E55ADC">
              <w:rPr>
                <w:rFonts w:cs="Arial"/>
              </w:rPr>
              <w:t>(zdravotní, prohlídky, školení, znalosti</w:t>
            </w:r>
            <w:r>
              <w:rPr>
                <w:rFonts w:cs="Arial"/>
              </w:rPr>
              <w:t xml:space="preserve">, končící zkušební doby, </w:t>
            </w:r>
            <w:r w:rsidRPr="009D3B86">
              <w:t>končící smlouvy na dobu určitou</w:t>
            </w:r>
            <w:r>
              <w:t xml:space="preserve">, </w:t>
            </w:r>
            <w:r w:rsidRPr="009D3B86">
              <w:t>končící mimo evidenční stavy</w:t>
            </w:r>
            <w:r>
              <w:t xml:space="preserve">, </w:t>
            </w:r>
            <w:r w:rsidRPr="009D3B86">
              <w:t>odchody do důchodu</w:t>
            </w:r>
            <w:r>
              <w:t xml:space="preserve">, </w:t>
            </w:r>
            <w:r w:rsidRPr="009D3B86">
              <w:t>jubilea</w:t>
            </w:r>
            <w:r>
              <w:t xml:space="preserve">, </w:t>
            </w:r>
            <w:r w:rsidRPr="009D3B86">
              <w:t>platnosti osvědčení</w:t>
            </w:r>
            <w:r>
              <w:t xml:space="preserve">, </w:t>
            </w:r>
            <w:r w:rsidRPr="009D3B86">
              <w:t>nesplněné povinnosti zaměstnanců (vzdělání, prohlídky apod.)</w:t>
            </w:r>
            <w:r>
              <w:rPr>
                <w:rFonts w:cs="Arial"/>
              </w:rPr>
              <w:t>)</w:t>
            </w:r>
          </w:p>
        </w:tc>
        <w:tc>
          <w:tcPr>
            <w:tcW w:w="1276" w:type="dxa"/>
            <w:noWrap/>
          </w:tcPr>
          <w:p w14:paraId="4E003C5D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7A18965F" w14:textId="77777777" w:rsidR="002255F4" w:rsidRPr="009D3B86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1ABE9732" w14:textId="77777777" w:rsidTr="002255F4">
        <w:trPr>
          <w:trHeight w:val="300"/>
        </w:trPr>
        <w:tc>
          <w:tcPr>
            <w:tcW w:w="5920" w:type="dxa"/>
          </w:tcPr>
          <w:p w14:paraId="6AB94A67" w14:textId="77777777" w:rsidR="002255F4" w:rsidRPr="00364257" w:rsidRDefault="002255F4" w:rsidP="00364257">
            <w:pPr>
              <w:pStyle w:val="Bezmezer"/>
              <w:numPr>
                <w:ilvl w:val="1"/>
                <w:numId w:val="21"/>
              </w:numPr>
              <w:ind w:left="1140"/>
              <w:rPr>
                <w:rFonts w:cs="Arial"/>
              </w:rPr>
            </w:pPr>
            <w:r w:rsidRPr="00364257">
              <w:rPr>
                <w:rFonts w:cs="Arial"/>
              </w:rPr>
              <w:t>upozornění uživatele na blížící se termín splnění</w:t>
            </w:r>
          </w:p>
        </w:tc>
        <w:tc>
          <w:tcPr>
            <w:tcW w:w="1276" w:type="dxa"/>
            <w:noWrap/>
          </w:tcPr>
          <w:p w14:paraId="616849C0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78E24002" w14:textId="77777777" w:rsidR="002255F4" w:rsidRPr="009D3B86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116C608F" w14:textId="77777777" w:rsidTr="002255F4">
        <w:trPr>
          <w:trHeight w:val="816"/>
        </w:trPr>
        <w:tc>
          <w:tcPr>
            <w:tcW w:w="5920" w:type="dxa"/>
          </w:tcPr>
          <w:p w14:paraId="1CBB266B" w14:textId="77777777" w:rsidR="002255F4" w:rsidRPr="00364257" w:rsidRDefault="002255F4" w:rsidP="00364257">
            <w:pPr>
              <w:pStyle w:val="Bezmezer"/>
              <w:numPr>
                <w:ilvl w:val="1"/>
                <w:numId w:val="21"/>
              </w:numPr>
              <w:ind w:left="1140"/>
            </w:pPr>
            <w:r>
              <w:rPr>
                <w:rFonts w:cs="Arial"/>
              </w:rPr>
              <w:t>notifikace emailem</w:t>
            </w:r>
            <w:r w:rsidRPr="00364257">
              <w:rPr>
                <w:rFonts w:cs="Arial"/>
              </w:rPr>
              <w:t xml:space="preserve"> s možností přímého prokliku na daný formulář</w:t>
            </w:r>
            <w:r>
              <w:rPr>
                <w:rFonts w:cs="Arial"/>
              </w:rPr>
              <w:t xml:space="preserve"> – zaslání notifikace v jazyce, který má zaměstnanec nastaven jako aktivní</w:t>
            </w:r>
          </w:p>
        </w:tc>
        <w:tc>
          <w:tcPr>
            <w:tcW w:w="1276" w:type="dxa"/>
            <w:noWrap/>
          </w:tcPr>
          <w:p w14:paraId="52BD94C3" w14:textId="77777777" w:rsidR="002255F4" w:rsidRPr="009D3B86" w:rsidRDefault="002255F4" w:rsidP="00D046FD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4E00D807" w14:textId="77777777" w:rsidR="002255F4" w:rsidRPr="009D3B86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613F3068" w14:textId="77777777" w:rsidTr="002255F4">
        <w:trPr>
          <w:trHeight w:val="300"/>
        </w:trPr>
        <w:tc>
          <w:tcPr>
            <w:tcW w:w="5920" w:type="dxa"/>
          </w:tcPr>
          <w:p w14:paraId="05C10387" w14:textId="77777777" w:rsidR="002255F4" w:rsidRPr="00023DBE" w:rsidRDefault="002255F4" w:rsidP="001F47FF">
            <w:pPr>
              <w:pStyle w:val="Bezmezer"/>
              <w:rPr>
                <w:highlight w:val="yellow"/>
              </w:rPr>
            </w:pPr>
            <w:r>
              <w:rPr>
                <w:rFonts w:cs="Arial"/>
              </w:rPr>
              <w:t>u</w:t>
            </w:r>
            <w:r w:rsidRPr="00E55ADC">
              <w:rPr>
                <w:rFonts w:cs="Arial"/>
              </w:rPr>
              <w:t xml:space="preserve">pozornění </w:t>
            </w:r>
            <w:r>
              <w:rPr>
                <w:rFonts w:cs="Arial"/>
              </w:rPr>
              <w:t xml:space="preserve">pro všechny zaměstnance </w:t>
            </w:r>
            <w:r w:rsidRPr="00E55ADC">
              <w:rPr>
                <w:rFonts w:cs="Arial"/>
              </w:rPr>
              <w:t>pomocí webového přístupu</w:t>
            </w:r>
          </w:p>
        </w:tc>
        <w:tc>
          <w:tcPr>
            <w:tcW w:w="1276" w:type="dxa"/>
            <w:noWrap/>
          </w:tcPr>
          <w:p w14:paraId="58B100A6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1972B966" w14:textId="77777777" w:rsidR="002255F4" w:rsidRPr="00C86E7B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436CD845" w14:textId="77777777" w:rsidTr="002255F4">
        <w:trPr>
          <w:trHeight w:val="378"/>
        </w:trPr>
        <w:tc>
          <w:tcPr>
            <w:tcW w:w="5920" w:type="dxa"/>
          </w:tcPr>
          <w:p w14:paraId="5030E204" w14:textId="77777777" w:rsidR="002255F4" w:rsidRPr="00023DBE" w:rsidRDefault="002255F4" w:rsidP="001F47FF">
            <w:pPr>
              <w:pStyle w:val="Bezmezer"/>
              <w:rPr>
                <w:highlight w:val="yellow"/>
              </w:rPr>
            </w:pPr>
            <w:r>
              <w:rPr>
                <w:rFonts w:cs="Arial"/>
              </w:rPr>
              <w:t>e</w:t>
            </w:r>
            <w:r w:rsidRPr="00E55ADC">
              <w:rPr>
                <w:rFonts w:cs="Arial"/>
              </w:rPr>
              <w:t>vidence dokladů, průkazů a certifikátů</w:t>
            </w:r>
          </w:p>
        </w:tc>
        <w:tc>
          <w:tcPr>
            <w:tcW w:w="1276" w:type="dxa"/>
            <w:noWrap/>
          </w:tcPr>
          <w:p w14:paraId="7E5BA44B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1CBAC038" w14:textId="77777777" w:rsidR="002255F4" w:rsidRPr="00C86E7B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320B0B5C" w14:textId="77777777" w:rsidTr="002255F4">
        <w:trPr>
          <w:trHeight w:val="300"/>
        </w:trPr>
        <w:tc>
          <w:tcPr>
            <w:tcW w:w="5920" w:type="dxa"/>
          </w:tcPr>
          <w:p w14:paraId="41B1A42F" w14:textId="77777777" w:rsidR="002255F4" w:rsidRPr="00023DBE" w:rsidRDefault="002255F4" w:rsidP="001F47FF">
            <w:pPr>
              <w:pStyle w:val="Bezmezer"/>
              <w:rPr>
                <w:highlight w:val="yellow"/>
              </w:rPr>
            </w:pPr>
            <w:r>
              <w:rPr>
                <w:rFonts w:cs="Arial"/>
              </w:rPr>
              <w:t>s</w:t>
            </w:r>
            <w:r w:rsidRPr="00E55ADC">
              <w:rPr>
                <w:rFonts w:cs="Arial"/>
              </w:rPr>
              <w:t>ledování nároků na pracovní pomůcky na konkrétního zaměstnance a na konkrétní místo dle systemizace</w:t>
            </w:r>
          </w:p>
        </w:tc>
        <w:tc>
          <w:tcPr>
            <w:tcW w:w="1276" w:type="dxa"/>
            <w:noWrap/>
          </w:tcPr>
          <w:p w14:paraId="56F48619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7DC963EA" w14:textId="77777777" w:rsidR="002255F4" w:rsidRPr="00C86E7B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3713627C" w14:textId="77777777" w:rsidTr="002255F4">
        <w:trPr>
          <w:trHeight w:val="300"/>
        </w:trPr>
        <w:tc>
          <w:tcPr>
            <w:tcW w:w="5920" w:type="dxa"/>
          </w:tcPr>
          <w:p w14:paraId="6CBF8BEE" w14:textId="77777777" w:rsidR="002255F4" w:rsidRPr="00023DBE" w:rsidRDefault="002255F4" w:rsidP="001F47FF">
            <w:pPr>
              <w:pStyle w:val="Bezmezer"/>
              <w:rPr>
                <w:highlight w:val="yellow"/>
              </w:rPr>
            </w:pPr>
            <w:r>
              <w:t>w</w:t>
            </w:r>
            <w:r w:rsidRPr="009D3B86">
              <w:t>orkflow žádosti o služební cestu (tuzemské i zahraniční) a její vyúčtování přes webový portál zaměstnance (s možností cestovní náklady přiřazovat minimálně k projektům a nákladovým střediskům)</w:t>
            </w:r>
          </w:p>
        </w:tc>
        <w:tc>
          <w:tcPr>
            <w:tcW w:w="1276" w:type="dxa"/>
            <w:noWrap/>
          </w:tcPr>
          <w:p w14:paraId="0B681C8E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341C2710" w14:textId="77777777" w:rsidR="002255F4" w:rsidRPr="00C86E7B" w:rsidRDefault="002255F4" w:rsidP="001F47FF">
            <w:pPr>
              <w:pStyle w:val="Bezmezer"/>
              <w:rPr>
                <w:b/>
                <w:bCs/>
              </w:rPr>
            </w:pPr>
          </w:p>
        </w:tc>
      </w:tr>
      <w:tr w:rsidR="002255F4" w:rsidRPr="009D3B86" w14:paraId="64FBDED1" w14:textId="77777777" w:rsidTr="002255F4">
        <w:trPr>
          <w:trHeight w:val="300"/>
        </w:trPr>
        <w:tc>
          <w:tcPr>
            <w:tcW w:w="5920" w:type="dxa"/>
          </w:tcPr>
          <w:p w14:paraId="7DB6086F" w14:textId="77777777" w:rsidR="002255F4" w:rsidRPr="009D3B86" w:rsidRDefault="002255F4" w:rsidP="009F207B">
            <w:pPr>
              <w:pStyle w:val="Bezmezer"/>
            </w:pPr>
            <w:r>
              <w:rPr>
                <w:rFonts w:cs="Arial"/>
              </w:rPr>
              <w:t>z</w:t>
            </w:r>
            <w:r w:rsidRPr="00E55ADC">
              <w:rPr>
                <w:rFonts w:cs="Arial"/>
              </w:rPr>
              <w:t>nalosti – evidence libovolných, uživatelsky definovatelných znalostí</w:t>
            </w:r>
          </w:p>
        </w:tc>
        <w:tc>
          <w:tcPr>
            <w:tcW w:w="1276" w:type="dxa"/>
            <w:noWrap/>
          </w:tcPr>
          <w:p w14:paraId="4B6E7EEA" w14:textId="77777777" w:rsidR="002255F4" w:rsidRPr="00DB40D3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907A2C2" w14:textId="77777777" w:rsidR="002255F4" w:rsidRPr="00DB40D3" w:rsidRDefault="002255F4" w:rsidP="001F47FF">
            <w:pPr>
              <w:spacing w:after="0"/>
            </w:pPr>
          </w:p>
        </w:tc>
      </w:tr>
      <w:tr w:rsidR="002255F4" w:rsidRPr="009D3B86" w14:paraId="60BEE77D" w14:textId="77777777" w:rsidTr="002255F4">
        <w:trPr>
          <w:trHeight w:val="300"/>
        </w:trPr>
        <w:tc>
          <w:tcPr>
            <w:tcW w:w="5920" w:type="dxa"/>
          </w:tcPr>
          <w:p w14:paraId="2D9FD8CF" w14:textId="77777777" w:rsidR="002255F4" w:rsidRPr="00023DBE" w:rsidRDefault="002255F4" w:rsidP="001F47FF">
            <w:pPr>
              <w:pStyle w:val="Bezmezer"/>
              <w:rPr>
                <w:highlight w:val="yellow"/>
              </w:rPr>
            </w:pPr>
            <w:r>
              <w:rPr>
                <w:rFonts w:cs="Arial"/>
              </w:rPr>
              <w:t>l</w:t>
            </w:r>
            <w:r w:rsidRPr="00EC7158">
              <w:rPr>
                <w:rFonts w:cs="Arial"/>
              </w:rPr>
              <w:t xml:space="preserve">ékařské prohlídky – požadavky na absolvování zdravotních prohlídek s možností přímé vazby na dosažený věk zaměstnance, </w:t>
            </w:r>
            <w:r w:rsidRPr="00497788">
              <w:rPr>
                <w:rFonts w:cs="Arial"/>
              </w:rPr>
              <w:t>hlídání termínů všech druhů preventivních zdravotních prohlídek (periodické, vstupní a výstupní prohlídky)</w:t>
            </w:r>
          </w:p>
        </w:tc>
        <w:tc>
          <w:tcPr>
            <w:tcW w:w="1276" w:type="dxa"/>
            <w:noWrap/>
          </w:tcPr>
          <w:p w14:paraId="684D51B7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7944D57C" w14:textId="77777777" w:rsidR="002255F4" w:rsidRPr="009D3B86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4621FDA9" w14:textId="77777777" w:rsidTr="002255F4">
        <w:trPr>
          <w:trHeight w:val="300"/>
        </w:trPr>
        <w:tc>
          <w:tcPr>
            <w:tcW w:w="5920" w:type="dxa"/>
          </w:tcPr>
          <w:p w14:paraId="16C3808D" w14:textId="77777777" w:rsidR="002255F4" w:rsidRPr="009D3B86" w:rsidRDefault="002255F4" w:rsidP="001F47FF">
            <w:pPr>
              <w:pStyle w:val="Bezmezer"/>
            </w:pPr>
            <w:r>
              <w:rPr>
                <w:rFonts w:cs="Arial"/>
              </w:rPr>
              <w:t>p</w:t>
            </w:r>
            <w:r w:rsidRPr="00E55ADC">
              <w:rPr>
                <w:rFonts w:cs="Arial"/>
              </w:rPr>
              <w:t>racovní pomůcky – evidence nároku zaměstnance na konkrétní pracovní pomůcky s možností definice s libovolnou periodou opakování</w:t>
            </w:r>
          </w:p>
        </w:tc>
        <w:tc>
          <w:tcPr>
            <w:tcW w:w="1276" w:type="dxa"/>
            <w:noWrap/>
          </w:tcPr>
          <w:p w14:paraId="65276867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3DD26B0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18CC265A" w14:textId="77777777" w:rsidTr="002255F4">
        <w:trPr>
          <w:trHeight w:val="300"/>
        </w:trPr>
        <w:tc>
          <w:tcPr>
            <w:tcW w:w="5920" w:type="dxa"/>
          </w:tcPr>
          <w:p w14:paraId="210D206D" w14:textId="77777777" w:rsidR="002255F4" w:rsidRPr="009D3B86" w:rsidRDefault="002255F4" w:rsidP="001F47FF">
            <w:pPr>
              <w:pStyle w:val="Bezmezer"/>
            </w:pPr>
            <w:r>
              <w:t>evidence záznamů v základním členění:</w:t>
            </w:r>
          </w:p>
        </w:tc>
        <w:tc>
          <w:tcPr>
            <w:tcW w:w="1276" w:type="dxa"/>
            <w:noWrap/>
          </w:tcPr>
          <w:p w14:paraId="0FA1BBE2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4AB18F1D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3439219D" w14:textId="77777777" w:rsidTr="002255F4">
        <w:trPr>
          <w:trHeight w:val="300"/>
        </w:trPr>
        <w:tc>
          <w:tcPr>
            <w:tcW w:w="5920" w:type="dxa"/>
          </w:tcPr>
          <w:p w14:paraId="6AE803DD" w14:textId="77777777" w:rsidR="002255F4" w:rsidRPr="00A05402" w:rsidRDefault="002255F4" w:rsidP="00A0540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E55ADC">
              <w:rPr>
                <w:rFonts w:cs="Arial"/>
              </w:rPr>
              <w:t>nalosti a osvědčení (skutečně získané znalosti)</w:t>
            </w:r>
          </w:p>
        </w:tc>
        <w:tc>
          <w:tcPr>
            <w:tcW w:w="1276" w:type="dxa"/>
            <w:noWrap/>
          </w:tcPr>
          <w:p w14:paraId="61E925D3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485D0943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31DB76FC" w14:textId="77777777" w:rsidTr="002255F4">
        <w:trPr>
          <w:trHeight w:val="300"/>
        </w:trPr>
        <w:tc>
          <w:tcPr>
            <w:tcW w:w="5920" w:type="dxa"/>
          </w:tcPr>
          <w:p w14:paraId="0ECB4873" w14:textId="77777777" w:rsidR="002255F4" w:rsidRPr="00A05402" w:rsidRDefault="002255F4" w:rsidP="00A0540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E55ADC">
              <w:rPr>
                <w:rFonts w:cs="Arial"/>
              </w:rPr>
              <w:t xml:space="preserve">ékařské prohlídky (absolvované lékařské prohlídky včetně </w:t>
            </w:r>
            <w:r w:rsidRPr="00E55ADC">
              <w:rPr>
                <w:rFonts w:cs="Arial"/>
              </w:rPr>
              <w:lastRenderedPageBreak/>
              <w:t>možnosti evidovat výsledek (stupeň)</w:t>
            </w:r>
          </w:p>
        </w:tc>
        <w:tc>
          <w:tcPr>
            <w:tcW w:w="1276" w:type="dxa"/>
            <w:noWrap/>
          </w:tcPr>
          <w:p w14:paraId="27A71109" w14:textId="77777777" w:rsidR="002255F4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4F455505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4713D0C6" w14:textId="77777777" w:rsidTr="002255F4">
        <w:trPr>
          <w:trHeight w:val="510"/>
        </w:trPr>
        <w:tc>
          <w:tcPr>
            <w:tcW w:w="5920" w:type="dxa"/>
          </w:tcPr>
          <w:p w14:paraId="4B70770A" w14:textId="77777777" w:rsidR="002255F4" w:rsidRPr="00A05402" w:rsidRDefault="002255F4" w:rsidP="00A0540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E55ADC">
              <w:rPr>
                <w:rFonts w:cs="Arial"/>
              </w:rPr>
              <w:t>zdělávání (absolvované vzdělávání)</w:t>
            </w:r>
          </w:p>
        </w:tc>
        <w:tc>
          <w:tcPr>
            <w:tcW w:w="1276" w:type="dxa"/>
            <w:noWrap/>
          </w:tcPr>
          <w:p w14:paraId="34939E23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1E2686F3" w14:textId="77777777" w:rsidR="002255F4" w:rsidRPr="009D3B86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4B30ABFD" w14:textId="77777777" w:rsidTr="002255F4">
        <w:trPr>
          <w:trHeight w:val="510"/>
        </w:trPr>
        <w:tc>
          <w:tcPr>
            <w:tcW w:w="5920" w:type="dxa"/>
          </w:tcPr>
          <w:p w14:paraId="5E3D141E" w14:textId="77777777" w:rsidR="002255F4" w:rsidRPr="00A05402" w:rsidRDefault="002255F4" w:rsidP="00A0540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55ADC">
              <w:rPr>
                <w:rFonts w:cs="Arial"/>
              </w:rPr>
              <w:t>racovní pomůcky (skutečně vydané pracovní pomůcky včetně předpokládaného data vrácení a příznaku, zda se pomůcka vrací)</w:t>
            </w:r>
          </w:p>
        </w:tc>
        <w:tc>
          <w:tcPr>
            <w:tcW w:w="1276" w:type="dxa"/>
            <w:noWrap/>
          </w:tcPr>
          <w:p w14:paraId="6839BB15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09CAFBF5" w14:textId="77777777" w:rsidR="002255F4" w:rsidRPr="009D3B86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6AD1E541" w14:textId="77777777" w:rsidTr="002255F4">
        <w:trPr>
          <w:trHeight w:val="510"/>
        </w:trPr>
        <w:tc>
          <w:tcPr>
            <w:tcW w:w="5920" w:type="dxa"/>
          </w:tcPr>
          <w:p w14:paraId="2542D56A" w14:textId="77777777" w:rsidR="002255F4" w:rsidRPr="00A05402" w:rsidRDefault="002255F4" w:rsidP="00A0540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E55ADC">
              <w:rPr>
                <w:rFonts w:cs="Arial"/>
              </w:rPr>
              <w:t>apomenutí (evidence kárných opatření – vytýkací dopisy)</w:t>
            </w:r>
          </w:p>
        </w:tc>
        <w:tc>
          <w:tcPr>
            <w:tcW w:w="1276" w:type="dxa"/>
            <w:noWrap/>
          </w:tcPr>
          <w:p w14:paraId="10020872" w14:textId="77777777" w:rsidR="002255F4" w:rsidRPr="009D3B86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390AB516" w14:textId="77777777" w:rsidR="002255F4" w:rsidRPr="009D3B86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69C634BC" w14:textId="77777777" w:rsidTr="002255F4">
        <w:trPr>
          <w:trHeight w:val="300"/>
        </w:trPr>
        <w:tc>
          <w:tcPr>
            <w:tcW w:w="5920" w:type="dxa"/>
          </w:tcPr>
          <w:p w14:paraId="1154EDC5" w14:textId="77777777" w:rsidR="002255F4" w:rsidRPr="00A05402" w:rsidRDefault="002255F4" w:rsidP="00A0540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E55ADC">
              <w:rPr>
                <w:rFonts w:cs="Arial"/>
              </w:rPr>
              <w:t>enefity (evidence přiznaných benefitů, jako je penzijní připojištění, životní pojištění, zaměstnanecká půjčka, finanční nárok ve stanovené výši k čerpání v určité oblasti, bodový nárok, nefinanční nárok – služební auto k soukromým účelům apod.</w:t>
            </w:r>
          </w:p>
        </w:tc>
        <w:tc>
          <w:tcPr>
            <w:tcW w:w="1276" w:type="dxa"/>
            <w:noWrap/>
          </w:tcPr>
          <w:p w14:paraId="02325B7D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0EC715F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6330FF5D" w14:textId="77777777" w:rsidTr="002255F4">
        <w:trPr>
          <w:trHeight w:val="300"/>
        </w:trPr>
        <w:tc>
          <w:tcPr>
            <w:tcW w:w="5920" w:type="dxa"/>
          </w:tcPr>
          <w:p w14:paraId="73E1FE5D" w14:textId="77777777" w:rsidR="002255F4" w:rsidRDefault="002255F4" w:rsidP="00A0540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pracovní úrazy</w:t>
            </w:r>
          </w:p>
          <w:p w14:paraId="3FE82F78" w14:textId="77777777" w:rsidR="002255F4" w:rsidRDefault="002255F4" w:rsidP="0094525B">
            <w:pPr>
              <w:pStyle w:val="Bezmezer"/>
              <w:numPr>
                <w:ilvl w:val="1"/>
                <w:numId w:val="21"/>
              </w:numPr>
              <w:ind w:left="1140"/>
              <w:rPr>
                <w:rFonts w:cs="Arial"/>
              </w:rPr>
            </w:pPr>
            <w:r w:rsidRPr="00497788">
              <w:rPr>
                <w:rFonts w:cs="Arial"/>
              </w:rPr>
              <w:t>detailní evidence pracovních úrazů, která plní povinnost zaměstnava</w:t>
            </w:r>
            <w:r>
              <w:rPr>
                <w:rFonts w:cs="Arial"/>
              </w:rPr>
              <w:t>tele na způsob jejich evidence,</w:t>
            </w:r>
          </w:p>
          <w:p w14:paraId="4971E7D5" w14:textId="77777777" w:rsidR="002255F4" w:rsidRDefault="002255F4" w:rsidP="0094525B">
            <w:pPr>
              <w:pStyle w:val="Bezmezer"/>
              <w:numPr>
                <w:ilvl w:val="1"/>
                <w:numId w:val="21"/>
              </w:numPr>
              <w:ind w:left="1140"/>
              <w:rPr>
                <w:rFonts w:cs="Arial"/>
              </w:rPr>
            </w:pPr>
            <w:r>
              <w:rPr>
                <w:rFonts w:cs="Arial"/>
              </w:rPr>
              <w:t>tisk</w:t>
            </w:r>
            <w:r w:rsidRPr="00A05402">
              <w:rPr>
                <w:rFonts w:cs="Arial"/>
              </w:rPr>
              <w:t xml:space="preserve"> záznamu o úrazu</w:t>
            </w:r>
            <w:r>
              <w:rPr>
                <w:rFonts w:cs="Arial"/>
              </w:rPr>
              <w:t>,</w:t>
            </w:r>
          </w:p>
          <w:p w14:paraId="31D7BD08" w14:textId="77777777" w:rsidR="002255F4" w:rsidRPr="00A05402" w:rsidRDefault="002255F4" w:rsidP="0094525B">
            <w:pPr>
              <w:pStyle w:val="Bezmezer"/>
              <w:numPr>
                <w:ilvl w:val="1"/>
                <w:numId w:val="21"/>
              </w:numPr>
              <w:ind w:left="1140"/>
              <w:rPr>
                <w:rFonts w:cs="Arial"/>
              </w:rPr>
            </w:pPr>
            <w:r>
              <w:rPr>
                <w:rFonts w:cs="Arial"/>
              </w:rPr>
              <w:t>vytvoření záznamu o úrazu prostřednictvím webové aplikace</w:t>
            </w:r>
          </w:p>
        </w:tc>
        <w:tc>
          <w:tcPr>
            <w:tcW w:w="1276" w:type="dxa"/>
            <w:noWrap/>
          </w:tcPr>
          <w:p w14:paraId="3C7BAFE7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7017FC25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3AC7BC0E" w14:textId="77777777" w:rsidTr="002255F4">
        <w:trPr>
          <w:trHeight w:val="300"/>
        </w:trPr>
        <w:tc>
          <w:tcPr>
            <w:tcW w:w="5920" w:type="dxa"/>
          </w:tcPr>
          <w:p w14:paraId="69C19096" w14:textId="77777777" w:rsidR="002255F4" w:rsidRPr="00497788" w:rsidRDefault="002255F4" w:rsidP="00062B82">
            <w:pPr>
              <w:pStyle w:val="Bezmezer"/>
              <w:rPr>
                <w:rFonts w:cs="Arial"/>
              </w:rPr>
            </w:pPr>
            <w:r>
              <w:t>nástroj evidence požadavků kladených na zaměstnance prostřednictvím systemizace, resp. na pracovní místo</w:t>
            </w:r>
          </w:p>
        </w:tc>
        <w:tc>
          <w:tcPr>
            <w:tcW w:w="1276" w:type="dxa"/>
            <w:noWrap/>
          </w:tcPr>
          <w:p w14:paraId="41D4C9B8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B4B8205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64B7B19E" w14:textId="77777777" w:rsidTr="002255F4">
        <w:trPr>
          <w:trHeight w:val="300"/>
        </w:trPr>
        <w:tc>
          <w:tcPr>
            <w:tcW w:w="5920" w:type="dxa"/>
          </w:tcPr>
          <w:p w14:paraId="1B862E71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 w:rsidRPr="00E55ADC">
              <w:rPr>
                <w:rFonts w:cs="Arial"/>
              </w:rPr>
              <w:t xml:space="preserve">požadavky </w:t>
            </w:r>
            <w:r>
              <w:rPr>
                <w:rFonts w:cs="Arial"/>
              </w:rPr>
              <w:t>se evidují</w:t>
            </w:r>
            <w:r w:rsidRPr="00E55ADC">
              <w:rPr>
                <w:rFonts w:cs="Arial"/>
              </w:rPr>
              <w:t xml:space="preserve"> na úrovni pracovního</w:t>
            </w:r>
            <w:r>
              <w:rPr>
                <w:rFonts w:cs="Arial"/>
              </w:rPr>
              <w:t xml:space="preserve"> místa (organizační jednotky)</w:t>
            </w:r>
          </w:p>
        </w:tc>
        <w:tc>
          <w:tcPr>
            <w:tcW w:w="1276" w:type="dxa"/>
            <w:noWrap/>
          </w:tcPr>
          <w:p w14:paraId="05B0783A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E00EE02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736B9E81" w14:textId="77777777" w:rsidTr="002255F4">
        <w:trPr>
          <w:trHeight w:val="300"/>
        </w:trPr>
        <w:tc>
          <w:tcPr>
            <w:tcW w:w="5920" w:type="dxa"/>
          </w:tcPr>
          <w:p w14:paraId="7625F401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</w:pPr>
            <w:r w:rsidRPr="00E55ADC">
              <w:rPr>
                <w:rFonts w:cs="Arial"/>
              </w:rPr>
              <w:t>při zařazení zaměstnance na pracovní místo tento zaměstnanec automaticky získává všechny definované požadavky, důsledek požadavků – každému novému zaměstnanci tedy nemusejí být všechny požadavky zadávány ručně</w:t>
            </w:r>
          </w:p>
        </w:tc>
        <w:tc>
          <w:tcPr>
            <w:tcW w:w="1276" w:type="dxa"/>
            <w:noWrap/>
          </w:tcPr>
          <w:p w14:paraId="290EC300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65B9B8F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6C12D782" w14:textId="77777777" w:rsidTr="002255F4">
        <w:trPr>
          <w:trHeight w:val="300"/>
        </w:trPr>
        <w:tc>
          <w:tcPr>
            <w:tcW w:w="5920" w:type="dxa"/>
          </w:tcPr>
          <w:p w14:paraId="02ACA7BD" w14:textId="77777777" w:rsidR="002255F4" w:rsidRDefault="002255F4" w:rsidP="001F47FF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nástroj pro správu systemizace</w:t>
            </w:r>
          </w:p>
        </w:tc>
        <w:tc>
          <w:tcPr>
            <w:tcW w:w="1276" w:type="dxa"/>
            <w:noWrap/>
          </w:tcPr>
          <w:p w14:paraId="34ABAE4A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94A224E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57C6EEF7" w14:textId="77777777" w:rsidTr="002255F4">
        <w:trPr>
          <w:trHeight w:val="300"/>
        </w:trPr>
        <w:tc>
          <w:tcPr>
            <w:tcW w:w="5920" w:type="dxa"/>
          </w:tcPr>
          <w:p w14:paraId="29E299E1" w14:textId="77777777" w:rsidR="002255F4" w:rsidRPr="009D3B86" w:rsidRDefault="002255F4" w:rsidP="00062B82">
            <w:pPr>
              <w:pStyle w:val="Bezmezer"/>
              <w:numPr>
                <w:ilvl w:val="0"/>
                <w:numId w:val="21"/>
              </w:numPr>
            </w:pPr>
            <w:r>
              <w:rPr>
                <w:rFonts w:cs="Arial"/>
              </w:rPr>
              <w:t>podpora</w:t>
            </w:r>
            <w:r w:rsidRPr="006248A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systematické práce</w:t>
            </w:r>
            <w:r w:rsidRPr="006248AD">
              <w:rPr>
                <w:rFonts w:cs="Arial"/>
              </w:rPr>
              <w:t xml:space="preserve"> personalistů a vedoucích pracovníků spojenou s plánováním a používáním typových pozic, pracovních míst a organizační strukturou spo</w:t>
            </w:r>
            <w:r>
              <w:rPr>
                <w:rFonts w:cs="Arial"/>
              </w:rPr>
              <w:t>lečnosti</w:t>
            </w:r>
          </w:p>
        </w:tc>
        <w:tc>
          <w:tcPr>
            <w:tcW w:w="1276" w:type="dxa"/>
            <w:noWrap/>
          </w:tcPr>
          <w:p w14:paraId="753605C1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487C615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02D8490D" w14:textId="77777777" w:rsidTr="002255F4">
        <w:trPr>
          <w:trHeight w:val="300"/>
        </w:trPr>
        <w:tc>
          <w:tcPr>
            <w:tcW w:w="5920" w:type="dxa"/>
          </w:tcPr>
          <w:p w14:paraId="05CA63AF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 w:rsidRPr="00276EC2">
              <w:rPr>
                <w:rFonts w:cs="Arial"/>
              </w:rPr>
              <w:t>nástroje na vytvoření a správu základní hierarchie řízení organizace a reprezentované orientovaným stromovým grafem,</w:t>
            </w:r>
            <w:r>
              <w:rPr>
                <w:rFonts w:cs="Arial"/>
              </w:rPr>
              <w:t xml:space="preserve"> </w:t>
            </w:r>
            <w:r w:rsidRPr="00276EC2">
              <w:rPr>
                <w:rFonts w:cs="Arial"/>
              </w:rPr>
              <w:t>uzly grafu tvoří organizační jednotky společnosti (divize, útvary, oddělení, lokality a další), orientované hrany spojují nadřízené (vyšší) organizační jednotky s podřízenými</w:t>
            </w:r>
          </w:p>
        </w:tc>
        <w:tc>
          <w:tcPr>
            <w:tcW w:w="1276" w:type="dxa"/>
            <w:noWrap/>
          </w:tcPr>
          <w:p w14:paraId="405EDDE8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273E301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7BEFC938" w14:textId="77777777" w:rsidTr="002255F4">
        <w:trPr>
          <w:trHeight w:val="300"/>
        </w:trPr>
        <w:tc>
          <w:tcPr>
            <w:tcW w:w="5920" w:type="dxa"/>
          </w:tcPr>
          <w:p w14:paraId="3E77273A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nástroje na přiřazení</w:t>
            </w:r>
            <w:r w:rsidRPr="006248A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kompetence</w:t>
            </w:r>
            <w:r w:rsidRPr="006248AD">
              <w:rPr>
                <w:rFonts w:cs="Arial"/>
              </w:rPr>
              <w:t xml:space="preserve"> k or</w:t>
            </w:r>
            <w:r>
              <w:rPr>
                <w:rFonts w:cs="Arial"/>
              </w:rPr>
              <w:t xml:space="preserve">ganizačním jednotkám nebo k </w:t>
            </w:r>
            <w:r w:rsidRPr="006248AD">
              <w:rPr>
                <w:rFonts w:cs="Arial"/>
              </w:rPr>
              <w:t>pracovním místům</w:t>
            </w:r>
          </w:p>
        </w:tc>
        <w:tc>
          <w:tcPr>
            <w:tcW w:w="1276" w:type="dxa"/>
            <w:noWrap/>
          </w:tcPr>
          <w:p w14:paraId="7C28BC0D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41C349B7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52D0B6F1" w14:textId="77777777" w:rsidTr="002255F4">
        <w:trPr>
          <w:trHeight w:val="300"/>
        </w:trPr>
        <w:tc>
          <w:tcPr>
            <w:tcW w:w="5920" w:type="dxa"/>
          </w:tcPr>
          <w:p w14:paraId="39075E15" w14:textId="77777777" w:rsidR="002255F4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nástroje na vytvoření</w:t>
            </w:r>
            <w:r w:rsidRPr="006248AD">
              <w:rPr>
                <w:rFonts w:cs="Arial"/>
              </w:rPr>
              <w:t xml:space="preserve"> organizační struktury s časovým rozlišením a možností zo</w:t>
            </w:r>
            <w:r>
              <w:rPr>
                <w:rFonts w:cs="Arial"/>
              </w:rPr>
              <w:t>brazení historických struktur (možnost nastavení změny organizační struktury do budoucna)</w:t>
            </w:r>
          </w:p>
          <w:p w14:paraId="6AB12577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každá změna v organizační struktuře má svou časovou platnost</w:t>
            </w:r>
          </w:p>
        </w:tc>
        <w:tc>
          <w:tcPr>
            <w:tcW w:w="1276" w:type="dxa"/>
            <w:noWrap/>
          </w:tcPr>
          <w:p w14:paraId="28F73E44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01C9018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39084840" w14:textId="77777777" w:rsidTr="002255F4">
        <w:trPr>
          <w:trHeight w:val="300"/>
        </w:trPr>
        <w:tc>
          <w:tcPr>
            <w:tcW w:w="5920" w:type="dxa"/>
          </w:tcPr>
          <w:p w14:paraId="2C072DAB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6248AD">
              <w:rPr>
                <w:rFonts w:cs="Arial"/>
              </w:rPr>
              <w:t>ožnost vytváření různých modelovacích schémat organizační struktury</w:t>
            </w:r>
          </w:p>
        </w:tc>
        <w:tc>
          <w:tcPr>
            <w:tcW w:w="1276" w:type="dxa"/>
            <w:noWrap/>
          </w:tcPr>
          <w:p w14:paraId="2A6FC51A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CE930F7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79E26ECF" w14:textId="77777777" w:rsidTr="002255F4">
        <w:trPr>
          <w:trHeight w:val="300"/>
        </w:trPr>
        <w:tc>
          <w:tcPr>
            <w:tcW w:w="5920" w:type="dxa"/>
          </w:tcPr>
          <w:p w14:paraId="0DC894E5" w14:textId="77777777" w:rsidR="002255F4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6248AD">
              <w:rPr>
                <w:rFonts w:cs="Arial"/>
              </w:rPr>
              <w:t xml:space="preserve">vidence typových pozic, které reprezentují obecnou šablonu pracovního místa pro určitou oblast </w:t>
            </w:r>
            <w:r>
              <w:rPr>
                <w:rFonts w:cs="Arial"/>
              </w:rPr>
              <w:t>s charakteristickými činnostmi</w:t>
            </w:r>
          </w:p>
          <w:p w14:paraId="6304E045" w14:textId="77777777" w:rsidR="002255F4" w:rsidRPr="00062B82" w:rsidRDefault="002255F4" w:rsidP="00062B82">
            <w:pPr>
              <w:pStyle w:val="Bezmezer"/>
              <w:numPr>
                <w:ilvl w:val="1"/>
                <w:numId w:val="21"/>
              </w:numPr>
              <w:ind w:left="114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6248AD">
              <w:rPr>
                <w:rFonts w:cs="Arial"/>
              </w:rPr>
              <w:t xml:space="preserve">ypová pozice deﬁnuje požadavky na vzdělání, </w:t>
            </w:r>
            <w:r w:rsidRPr="006248AD">
              <w:rPr>
                <w:rFonts w:cs="Arial"/>
              </w:rPr>
              <w:lastRenderedPageBreak/>
              <w:t>znalosti, lékařské prohlídky, pracovní pomůcky, hodnocení zaměstnance, pracovní úvazek a mzdové zařazení.</w:t>
            </w:r>
          </w:p>
        </w:tc>
        <w:tc>
          <w:tcPr>
            <w:tcW w:w="1276" w:type="dxa"/>
            <w:noWrap/>
          </w:tcPr>
          <w:p w14:paraId="4D1C910E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BF5A5B1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649AE2F0" w14:textId="77777777" w:rsidTr="002255F4">
        <w:trPr>
          <w:trHeight w:val="300"/>
        </w:trPr>
        <w:tc>
          <w:tcPr>
            <w:tcW w:w="5920" w:type="dxa"/>
          </w:tcPr>
          <w:p w14:paraId="7EC1F089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nástroje na evidenci</w:t>
            </w:r>
            <w:r w:rsidRPr="006248AD">
              <w:rPr>
                <w:rFonts w:cs="Arial"/>
              </w:rPr>
              <w:t xml:space="preserve"> pracovních míst, která reprezentují konkrétní určení pracoviště, požadavk</w:t>
            </w:r>
            <w:r>
              <w:rPr>
                <w:rFonts w:cs="Arial"/>
              </w:rPr>
              <w:t>ů, činností, a dalších atributů</w:t>
            </w:r>
          </w:p>
        </w:tc>
        <w:tc>
          <w:tcPr>
            <w:tcW w:w="1276" w:type="dxa"/>
            <w:noWrap/>
          </w:tcPr>
          <w:p w14:paraId="7135A2FD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1BAC16B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103E3E98" w14:textId="77777777" w:rsidTr="002255F4">
        <w:trPr>
          <w:trHeight w:val="300"/>
        </w:trPr>
        <w:tc>
          <w:tcPr>
            <w:tcW w:w="5920" w:type="dxa"/>
          </w:tcPr>
          <w:p w14:paraId="2500EC74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nástroje pro p</w:t>
            </w:r>
            <w:r w:rsidRPr="006248AD">
              <w:rPr>
                <w:rFonts w:cs="Arial"/>
              </w:rPr>
              <w:t>řiřazení kompetencí pracovního místa (práv přístupu k určitým činnostem) k organizační jednot</w:t>
            </w:r>
            <w:r>
              <w:rPr>
                <w:rFonts w:cs="Arial"/>
              </w:rPr>
              <w:t>ce nebo jinému pracovnímu místu</w:t>
            </w:r>
          </w:p>
        </w:tc>
        <w:tc>
          <w:tcPr>
            <w:tcW w:w="1276" w:type="dxa"/>
            <w:noWrap/>
          </w:tcPr>
          <w:p w14:paraId="2F7BDAC2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D841C4B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60347384" w14:textId="77777777" w:rsidTr="002255F4">
        <w:trPr>
          <w:trHeight w:val="300"/>
        </w:trPr>
        <w:tc>
          <w:tcPr>
            <w:tcW w:w="5920" w:type="dxa"/>
          </w:tcPr>
          <w:p w14:paraId="3EF3FC6D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nástroje pro n</w:t>
            </w:r>
            <w:r w:rsidRPr="006248AD">
              <w:rPr>
                <w:rFonts w:cs="Arial"/>
              </w:rPr>
              <w:t>astavení relace zastupování mezi pracovními místy, každé zastupování má časovou platnost a výčet kompeten</w:t>
            </w:r>
            <w:r>
              <w:rPr>
                <w:rFonts w:cs="Arial"/>
              </w:rPr>
              <w:t>cí, které je povoleno zastoupit</w:t>
            </w:r>
          </w:p>
        </w:tc>
        <w:tc>
          <w:tcPr>
            <w:tcW w:w="1276" w:type="dxa"/>
            <w:noWrap/>
          </w:tcPr>
          <w:p w14:paraId="3127A5B5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90CEEDD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74ADA963" w14:textId="77777777" w:rsidTr="002255F4">
        <w:trPr>
          <w:trHeight w:val="300"/>
        </w:trPr>
        <w:tc>
          <w:tcPr>
            <w:tcW w:w="5920" w:type="dxa"/>
          </w:tcPr>
          <w:p w14:paraId="574089FC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6248AD">
              <w:rPr>
                <w:rFonts w:cs="Arial"/>
              </w:rPr>
              <w:t>isk konﬁgurovatelných graﬁckých sestav organiz</w:t>
            </w:r>
            <w:r>
              <w:rPr>
                <w:rFonts w:cs="Arial"/>
              </w:rPr>
              <w:t>ačního uspořádání</w:t>
            </w:r>
          </w:p>
        </w:tc>
        <w:tc>
          <w:tcPr>
            <w:tcW w:w="1276" w:type="dxa"/>
            <w:noWrap/>
          </w:tcPr>
          <w:p w14:paraId="61FA6C20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F12F0D3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0BBC7BED" w14:textId="77777777" w:rsidTr="002255F4">
        <w:trPr>
          <w:trHeight w:val="300"/>
        </w:trPr>
        <w:tc>
          <w:tcPr>
            <w:tcW w:w="5920" w:type="dxa"/>
          </w:tcPr>
          <w:p w14:paraId="454839E5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možnost zobrazení organizační struktury formou aktuálního generování prostřednictvím webové aplikace,</w:t>
            </w:r>
          </w:p>
        </w:tc>
        <w:tc>
          <w:tcPr>
            <w:tcW w:w="1276" w:type="dxa"/>
            <w:noWrap/>
          </w:tcPr>
          <w:p w14:paraId="7EE1D4A3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8A7783D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53000049" w14:textId="77777777" w:rsidTr="002255F4">
        <w:trPr>
          <w:trHeight w:val="300"/>
        </w:trPr>
        <w:tc>
          <w:tcPr>
            <w:tcW w:w="5920" w:type="dxa"/>
          </w:tcPr>
          <w:p w14:paraId="58EAFCAD" w14:textId="77777777" w:rsidR="002255F4" w:rsidRPr="00062B82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možnost exportu do MS Office, Visio</w:t>
            </w:r>
          </w:p>
        </w:tc>
        <w:tc>
          <w:tcPr>
            <w:tcW w:w="1276" w:type="dxa"/>
            <w:noWrap/>
          </w:tcPr>
          <w:p w14:paraId="49EC60EC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0C4F230A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75ECB8C7" w14:textId="77777777" w:rsidTr="002255F4">
        <w:trPr>
          <w:trHeight w:val="300"/>
        </w:trPr>
        <w:tc>
          <w:tcPr>
            <w:tcW w:w="5920" w:type="dxa"/>
          </w:tcPr>
          <w:p w14:paraId="4217DF90" w14:textId="77777777" w:rsidR="002255F4" w:rsidRDefault="002255F4" w:rsidP="001F47FF">
            <w:pPr>
              <w:pStyle w:val="Bezmezer"/>
              <w:rPr>
                <w:rFonts w:cs="Arial"/>
              </w:rPr>
            </w:pPr>
            <w:r>
              <w:t>požadavky na předpřipravené sestavy z oblasti personalistiky:</w:t>
            </w:r>
          </w:p>
        </w:tc>
        <w:tc>
          <w:tcPr>
            <w:tcW w:w="1276" w:type="dxa"/>
            <w:noWrap/>
          </w:tcPr>
          <w:p w14:paraId="28E8787F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79636A2A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085F9863" w14:textId="77777777" w:rsidTr="002255F4">
        <w:trPr>
          <w:trHeight w:val="300"/>
        </w:trPr>
        <w:tc>
          <w:tcPr>
            <w:tcW w:w="5920" w:type="dxa"/>
          </w:tcPr>
          <w:p w14:paraId="15799D50" w14:textId="77777777" w:rsidR="002255F4" w:rsidRDefault="002255F4" w:rsidP="00062B82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součástí systému/dodávky budou předpřipravené sestavy, které si zadavatel bude moci tvořit svými vlastními silami bez využití programovacího jazyka či SQL dotazů:</w:t>
            </w:r>
          </w:p>
          <w:p w14:paraId="7594B2A4" w14:textId="77777777" w:rsidR="002255F4" w:rsidRDefault="002255F4" w:rsidP="00062B82">
            <w:pPr>
              <w:pStyle w:val="Bezmezer"/>
              <w:numPr>
                <w:ilvl w:val="1"/>
                <w:numId w:val="21"/>
              </w:numPr>
              <w:ind w:left="1140"/>
              <w:rPr>
                <w:rFonts w:cs="Arial"/>
              </w:rPr>
            </w:pPr>
            <w:r>
              <w:rPr>
                <w:rFonts w:cs="Arial"/>
              </w:rPr>
              <w:t>evidenční stavy, seznam nástupů, seznam výstupů, struktura zaměstnanců, přehled znalostí zaměstnanců, a další.</w:t>
            </w:r>
          </w:p>
        </w:tc>
        <w:tc>
          <w:tcPr>
            <w:tcW w:w="1276" w:type="dxa"/>
            <w:noWrap/>
          </w:tcPr>
          <w:p w14:paraId="649640B3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733D0E6E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15DCBA3E" w14:textId="77777777" w:rsidTr="002255F4">
        <w:trPr>
          <w:trHeight w:val="300"/>
        </w:trPr>
        <w:tc>
          <w:tcPr>
            <w:tcW w:w="5920" w:type="dxa"/>
          </w:tcPr>
          <w:p w14:paraId="5665BC58" w14:textId="77777777" w:rsidR="002255F4" w:rsidRDefault="002255F4" w:rsidP="001E4448">
            <w:pPr>
              <w:pStyle w:val="Bezmezer"/>
            </w:pPr>
            <w:r>
              <w:t>Konfigurační nástroj webových formulářů umožňující přímý import údajů přes webový portál:</w:t>
            </w:r>
          </w:p>
          <w:p w14:paraId="17F76685" w14:textId="77777777" w:rsidR="002255F4" w:rsidRDefault="002255F4" w:rsidP="001E4448">
            <w:pPr>
              <w:pStyle w:val="Bezmezer"/>
              <w:numPr>
                <w:ilvl w:val="0"/>
                <w:numId w:val="21"/>
              </w:numPr>
            </w:pPr>
            <w:r>
              <w:t>import informací zadaných přímo zaměstnanci,</w:t>
            </w:r>
          </w:p>
          <w:p w14:paraId="0924BB09" w14:textId="77777777" w:rsidR="002255F4" w:rsidRDefault="002255F4" w:rsidP="001E4448">
            <w:pPr>
              <w:pStyle w:val="Bezmezer"/>
              <w:numPr>
                <w:ilvl w:val="0"/>
                <w:numId w:val="21"/>
              </w:numPr>
            </w:pPr>
            <w:r>
              <w:t>možnost definice vlastního obsahu formuláře,</w:t>
            </w:r>
          </w:p>
          <w:p w14:paraId="6127FD04" w14:textId="77777777" w:rsidR="002255F4" w:rsidRDefault="002255F4" w:rsidP="001E4448">
            <w:pPr>
              <w:pStyle w:val="Bezmezer"/>
              <w:numPr>
                <w:ilvl w:val="0"/>
                <w:numId w:val="21"/>
              </w:numPr>
            </w:pPr>
            <w:r>
              <w:t>možnost definice a grafické znázornění povinných polí,</w:t>
            </w:r>
          </w:p>
          <w:p w14:paraId="56227DDC" w14:textId="77777777" w:rsidR="002255F4" w:rsidRDefault="002255F4" w:rsidP="001E4448">
            <w:pPr>
              <w:pStyle w:val="Bezmezer"/>
              <w:numPr>
                <w:ilvl w:val="0"/>
                <w:numId w:val="21"/>
              </w:numPr>
            </w:pPr>
            <w:r>
              <w:t>možnost schvalovacího procesu – po vidimaci obsahu zaslaného od zaměstnance potvrzení importu do systému,</w:t>
            </w:r>
          </w:p>
          <w:p w14:paraId="044340FC" w14:textId="77777777" w:rsidR="002255F4" w:rsidRPr="008A7A9F" w:rsidRDefault="002255F4" w:rsidP="001E4448">
            <w:pPr>
              <w:pStyle w:val="Bezmezer"/>
              <w:numPr>
                <w:ilvl w:val="0"/>
                <w:numId w:val="21"/>
              </w:numPr>
            </w:pPr>
            <w:r w:rsidRPr="008A7A9F">
              <w:t>možnost vložení dokumentu</w:t>
            </w:r>
            <w:r>
              <w:t xml:space="preserve"> uživatelem</w:t>
            </w:r>
          </w:p>
        </w:tc>
        <w:tc>
          <w:tcPr>
            <w:tcW w:w="1276" w:type="dxa"/>
            <w:noWrap/>
          </w:tcPr>
          <w:p w14:paraId="2320B1C8" w14:textId="77777777" w:rsidR="002255F4" w:rsidRPr="00C86E7B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3850FBE8" w14:textId="77777777" w:rsidR="002255F4" w:rsidRPr="00C86E7B" w:rsidRDefault="002255F4" w:rsidP="001F47FF">
            <w:pPr>
              <w:spacing w:after="0"/>
            </w:pPr>
          </w:p>
        </w:tc>
      </w:tr>
      <w:tr w:rsidR="002255F4" w:rsidRPr="009D3B86" w14:paraId="652B3D04" w14:textId="77777777" w:rsidTr="002255F4">
        <w:trPr>
          <w:trHeight w:val="600"/>
        </w:trPr>
        <w:tc>
          <w:tcPr>
            <w:tcW w:w="5920" w:type="dxa"/>
            <w:noWrap/>
            <w:hideMark/>
          </w:tcPr>
          <w:p w14:paraId="4FE19086" w14:textId="77777777" w:rsidR="002255F4" w:rsidRPr="009D3B86" w:rsidRDefault="002255F4" w:rsidP="001F47FF">
            <w:pPr>
              <w:rPr>
                <w:b/>
                <w:bCs/>
                <w:i/>
                <w:iCs/>
              </w:rPr>
            </w:pPr>
            <w:r w:rsidRPr="009D3B86">
              <w:rPr>
                <w:b/>
                <w:bCs/>
                <w:i/>
                <w:iCs/>
              </w:rPr>
              <w:t>Věcné požadavky oblast mezd</w:t>
            </w:r>
          </w:p>
        </w:tc>
        <w:tc>
          <w:tcPr>
            <w:tcW w:w="1276" w:type="dxa"/>
            <w:hideMark/>
          </w:tcPr>
          <w:p w14:paraId="1B7240C5" w14:textId="77777777" w:rsidR="002255F4" w:rsidRPr="009D3B86" w:rsidRDefault="002255F4" w:rsidP="001F47FF">
            <w:pPr>
              <w:rPr>
                <w:b/>
                <w:bCs/>
                <w:i/>
                <w:iCs/>
                <w:sz w:val="18"/>
              </w:rPr>
            </w:pPr>
            <w:r w:rsidRPr="009D3B86">
              <w:rPr>
                <w:b/>
                <w:bCs/>
                <w:i/>
                <w:iCs/>
                <w:sz w:val="18"/>
              </w:rPr>
              <w:t>splňuje ve standardu</w:t>
            </w:r>
          </w:p>
        </w:tc>
        <w:tc>
          <w:tcPr>
            <w:tcW w:w="1329" w:type="dxa"/>
            <w:hideMark/>
          </w:tcPr>
          <w:p w14:paraId="092B821D" w14:textId="77777777" w:rsidR="002255F4" w:rsidRPr="009D3B86" w:rsidRDefault="002255F4" w:rsidP="001F47FF">
            <w:pPr>
              <w:rPr>
                <w:b/>
                <w:bCs/>
                <w:i/>
                <w:iCs/>
                <w:sz w:val="18"/>
              </w:rPr>
            </w:pPr>
            <w:r w:rsidRPr="009D3B86">
              <w:rPr>
                <w:b/>
                <w:bCs/>
                <w:i/>
                <w:iCs/>
                <w:sz w:val="18"/>
              </w:rPr>
              <w:t>specifická konfigurace</w:t>
            </w:r>
          </w:p>
        </w:tc>
      </w:tr>
      <w:tr w:rsidR="002255F4" w:rsidRPr="00062B82" w14:paraId="104EB7DF" w14:textId="77777777" w:rsidTr="002255F4">
        <w:trPr>
          <w:trHeight w:val="300"/>
        </w:trPr>
        <w:tc>
          <w:tcPr>
            <w:tcW w:w="5920" w:type="dxa"/>
            <w:hideMark/>
          </w:tcPr>
          <w:p w14:paraId="46D0C248" w14:textId="5DDED4B1" w:rsidR="002255F4" w:rsidRPr="00062B82" w:rsidRDefault="002255F4" w:rsidP="001F47FF">
            <w:pPr>
              <w:pStyle w:val="Bezmezer"/>
            </w:pPr>
            <w:r w:rsidRPr="00062B82">
              <w:t>výpočet mezd, sociálního a zdravotního pojištění a daně z příjmů, náhrady mzdy, roční zúčtování záloh na daň z</w:t>
            </w:r>
            <w:r w:rsidR="0005750B">
              <w:t> </w:t>
            </w:r>
            <w:r w:rsidRPr="00062B82">
              <w:t>příjmů</w:t>
            </w:r>
            <w:r w:rsidR="0005750B">
              <w:t xml:space="preserve"> i u souběžných PP, soulad se zák. 131/2000 Sb o hl. m Praze (zastupitelé, volby)</w:t>
            </w:r>
            <w:r w:rsidRPr="00062B82">
              <w:t xml:space="preserve"> atd.</w:t>
            </w:r>
          </w:p>
        </w:tc>
        <w:tc>
          <w:tcPr>
            <w:tcW w:w="1276" w:type="dxa"/>
            <w:noWrap/>
          </w:tcPr>
          <w:p w14:paraId="51BA1959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6B6B5953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5D1FECC6" w14:textId="77777777" w:rsidTr="002255F4">
        <w:trPr>
          <w:trHeight w:val="510"/>
        </w:trPr>
        <w:tc>
          <w:tcPr>
            <w:tcW w:w="5920" w:type="dxa"/>
            <w:hideMark/>
          </w:tcPr>
          <w:p w14:paraId="36F09D16" w14:textId="77777777" w:rsidR="002255F4" w:rsidRPr="00062B82" w:rsidRDefault="002255F4" w:rsidP="001F47FF">
            <w:pPr>
              <w:pStyle w:val="Bezmezer"/>
            </w:pPr>
            <w:r w:rsidRPr="00062B82">
              <w:t xml:space="preserve">pro mzdové složky možnost nakonfigurovat účetní předpis a provést export dat pro zaúčtování mzdových nákladů do účetního systému </w:t>
            </w:r>
          </w:p>
        </w:tc>
        <w:tc>
          <w:tcPr>
            <w:tcW w:w="1276" w:type="dxa"/>
            <w:noWrap/>
          </w:tcPr>
          <w:p w14:paraId="47C71BE0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3C8533C5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717AC3F7" w14:textId="77777777" w:rsidTr="002255F4">
        <w:trPr>
          <w:trHeight w:val="510"/>
        </w:trPr>
        <w:tc>
          <w:tcPr>
            <w:tcW w:w="5920" w:type="dxa"/>
            <w:hideMark/>
          </w:tcPr>
          <w:p w14:paraId="2CCB4A76" w14:textId="00ADE37A" w:rsidR="002255F4" w:rsidRPr="00062B82" w:rsidRDefault="002255F4" w:rsidP="001F47FF">
            <w:pPr>
              <w:pStyle w:val="Bezmezer"/>
            </w:pPr>
            <w:r w:rsidRPr="00062B82">
              <w:t xml:space="preserve">bezpečná elektronická distribuce výplatních lístků (zpřístupnění </w:t>
            </w:r>
            <w:r w:rsidR="008F1594">
              <w:t xml:space="preserve">zabezpečené elektronické </w:t>
            </w:r>
            <w:r w:rsidRPr="00062B82">
              <w:t xml:space="preserve">výplatní pásky zaměstnanci přes </w:t>
            </w:r>
            <w:r w:rsidR="008F1594">
              <w:t xml:space="preserve">email nebo </w:t>
            </w:r>
            <w:r w:rsidRPr="00062B82">
              <w:t>zaměstnanecký portál včetně kompletní historie – nutné dvojí ověření identity) včetně možnosti volby druhu výplatního lístku (elektronický, papírový…)</w:t>
            </w:r>
            <w:r>
              <w:t>, nutnost zadání hesla ke zpřístupnění výplatního lístku na webovém portálu zaměstnance</w:t>
            </w:r>
            <w:r w:rsidR="0005750B">
              <w:t xml:space="preserve">, ELDP (vygenerování evidenčního listu důchodového pojištění) </w:t>
            </w:r>
          </w:p>
        </w:tc>
        <w:tc>
          <w:tcPr>
            <w:tcW w:w="1276" w:type="dxa"/>
            <w:noWrap/>
          </w:tcPr>
          <w:p w14:paraId="0DF4653D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73DC9CDD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20C9228A" w14:textId="77777777" w:rsidTr="002255F4">
        <w:trPr>
          <w:trHeight w:val="510"/>
        </w:trPr>
        <w:tc>
          <w:tcPr>
            <w:tcW w:w="5920" w:type="dxa"/>
          </w:tcPr>
          <w:p w14:paraId="0DBCDA56" w14:textId="77777777" w:rsidR="002255F4" w:rsidRPr="00062B82" w:rsidRDefault="002255F4" w:rsidP="001F47FF">
            <w:pPr>
              <w:pStyle w:val="Bezmezer"/>
            </w:pPr>
            <w:r>
              <w:t>podpora</w:t>
            </w:r>
            <w:r w:rsidRPr="00062B82">
              <w:t xml:space="preserve"> zadávání mzdových složek (prémie, srážky…) přes zaměstnanecký portál včetně schvalovacího workflow</w:t>
            </w:r>
          </w:p>
        </w:tc>
        <w:tc>
          <w:tcPr>
            <w:tcW w:w="1276" w:type="dxa"/>
            <w:noWrap/>
          </w:tcPr>
          <w:p w14:paraId="2110D59C" w14:textId="77777777" w:rsidR="002255F4" w:rsidRPr="00062B82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1DDF7646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23153CC8" w14:textId="77777777" w:rsidTr="002255F4">
        <w:trPr>
          <w:trHeight w:val="300"/>
        </w:trPr>
        <w:tc>
          <w:tcPr>
            <w:tcW w:w="5920" w:type="dxa"/>
            <w:hideMark/>
          </w:tcPr>
          <w:p w14:paraId="5F3ECA11" w14:textId="77777777" w:rsidR="002255F4" w:rsidRPr="00062B82" w:rsidRDefault="002255F4" w:rsidP="001F47FF">
            <w:pPr>
              <w:pStyle w:val="Bezmezer"/>
            </w:pPr>
            <w:r w:rsidRPr="00062B82">
              <w:t xml:space="preserve">průběžná automatická kontrola výpočtu mezd – klasifikace </w:t>
            </w:r>
            <w:r w:rsidRPr="00062B82">
              <w:lastRenderedPageBreak/>
              <w:t>chyb, včetně nemožnosti při závažných nedostatcích uzavřít mzdy</w:t>
            </w:r>
          </w:p>
        </w:tc>
        <w:tc>
          <w:tcPr>
            <w:tcW w:w="1276" w:type="dxa"/>
            <w:noWrap/>
          </w:tcPr>
          <w:p w14:paraId="06DAE863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1711DB42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66CC1ED3" w14:textId="77777777" w:rsidTr="002255F4">
        <w:trPr>
          <w:trHeight w:val="300"/>
        </w:trPr>
        <w:tc>
          <w:tcPr>
            <w:tcW w:w="5920" w:type="dxa"/>
            <w:hideMark/>
          </w:tcPr>
          <w:p w14:paraId="00C99B47" w14:textId="77777777" w:rsidR="002255F4" w:rsidRPr="00062B82" w:rsidRDefault="002255F4" w:rsidP="001F47FF">
            <w:pPr>
              <w:pStyle w:val="Bezmezer"/>
            </w:pPr>
            <w:r w:rsidRPr="00062B82">
              <w:t>podrobný audit výpočtu mezd (včetně historizace všech vstupních parametrů)</w:t>
            </w:r>
          </w:p>
        </w:tc>
        <w:tc>
          <w:tcPr>
            <w:tcW w:w="1276" w:type="dxa"/>
            <w:noWrap/>
          </w:tcPr>
          <w:p w14:paraId="5156A55E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0412F84C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13620A97" w14:textId="77777777" w:rsidTr="002255F4">
        <w:trPr>
          <w:trHeight w:val="300"/>
        </w:trPr>
        <w:tc>
          <w:tcPr>
            <w:tcW w:w="5920" w:type="dxa"/>
            <w:hideMark/>
          </w:tcPr>
          <w:p w14:paraId="3FC76CBA" w14:textId="77777777" w:rsidR="002255F4" w:rsidRPr="00062B82" w:rsidRDefault="002255F4" w:rsidP="001F47FF">
            <w:pPr>
              <w:pStyle w:val="Bezmezer"/>
            </w:pPr>
            <w:r w:rsidRPr="00062B82">
              <w:t>možnost uživatelsky vytvářet vlastní mzdové složky nezávisle na dodavateli</w:t>
            </w:r>
          </w:p>
        </w:tc>
        <w:tc>
          <w:tcPr>
            <w:tcW w:w="1276" w:type="dxa"/>
            <w:noWrap/>
          </w:tcPr>
          <w:p w14:paraId="60A300DF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68655B07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3E162722" w14:textId="77777777" w:rsidTr="002255F4">
        <w:trPr>
          <w:trHeight w:val="300"/>
        </w:trPr>
        <w:tc>
          <w:tcPr>
            <w:tcW w:w="5920" w:type="dxa"/>
            <w:hideMark/>
          </w:tcPr>
          <w:p w14:paraId="333CFDAD" w14:textId="77777777" w:rsidR="002255F4" w:rsidRPr="00062B82" w:rsidRDefault="002255F4" w:rsidP="001F47FF">
            <w:pPr>
              <w:pStyle w:val="Bezmezer"/>
            </w:pPr>
            <w:r w:rsidRPr="00062B82">
              <w:t>příprava podkladů pro zaúčtování mezd a odeslání příkazů k úhradě na jednotlivé účty zaměstnanců</w:t>
            </w:r>
          </w:p>
        </w:tc>
        <w:tc>
          <w:tcPr>
            <w:tcW w:w="1276" w:type="dxa"/>
            <w:noWrap/>
          </w:tcPr>
          <w:p w14:paraId="45DC9FE0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3BEE3FE6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6174CFD7" w14:textId="77777777" w:rsidTr="002255F4">
        <w:trPr>
          <w:trHeight w:val="300"/>
        </w:trPr>
        <w:tc>
          <w:tcPr>
            <w:tcW w:w="5920" w:type="dxa"/>
          </w:tcPr>
          <w:p w14:paraId="72E80F40" w14:textId="77777777" w:rsidR="002255F4" w:rsidRPr="00062B82" w:rsidRDefault="002255F4" w:rsidP="001F47FF">
            <w:pPr>
              <w:pStyle w:val="Bezmezer"/>
            </w:pPr>
            <w:r>
              <w:t>t</w:t>
            </w:r>
            <w:r w:rsidRPr="00062B82">
              <w:t>vorba příkazů k úhradě a podkladů k zaúčtování mezd podle definovatelných společností</w:t>
            </w:r>
          </w:p>
        </w:tc>
        <w:tc>
          <w:tcPr>
            <w:tcW w:w="1276" w:type="dxa"/>
            <w:noWrap/>
          </w:tcPr>
          <w:p w14:paraId="4B9E0A87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0906B5B0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50190DBA" w14:textId="77777777" w:rsidTr="002255F4">
        <w:trPr>
          <w:trHeight w:val="510"/>
        </w:trPr>
        <w:tc>
          <w:tcPr>
            <w:tcW w:w="5920" w:type="dxa"/>
            <w:hideMark/>
          </w:tcPr>
          <w:p w14:paraId="59566011" w14:textId="77777777" w:rsidR="002255F4" w:rsidRPr="00062B82" w:rsidRDefault="002255F4" w:rsidP="00A32BEC">
            <w:pPr>
              <w:pStyle w:val="Bezmezer"/>
            </w:pPr>
            <w:r w:rsidRPr="00062B82">
              <w:t>sledování mzdových nákladů podle nákladových středisek a podle projektů včetně exportu podkladu zaúčtování mezd do účetnictví</w:t>
            </w:r>
          </w:p>
        </w:tc>
        <w:tc>
          <w:tcPr>
            <w:tcW w:w="1276" w:type="dxa"/>
            <w:noWrap/>
          </w:tcPr>
          <w:p w14:paraId="61B05AC5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4597154D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2C75096C" w14:textId="77777777" w:rsidTr="002255F4">
        <w:trPr>
          <w:trHeight w:val="510"/>
        </w:trPr>
        <w:tc>
          <w:tcPr>
            <w:tcW w:w="5920" w:type="dxa"/>
            <w:hideMark/>
          </w:tcPr>
          <w:p w14:paraId="6C3081D8" w14:textId="77777777" w:rsidR="002255F4" w:rsidRPr="00062B82" w:rsidRDefault="002255F4" w:rsidP="001F47FF">
            <w:pPr>
              <w:pStyle w:val="Bezmezer"/>
            </w:pPr>
            <w:r w:rsidRPr="00062B82">
              <w:t>upozornění na změny v platových postupech, v případě úprav platových výměrů – možnost uvedení důvodu změny (při navýšení či snížení platu v závislosti na hodnocení)</w:t>
            </w:r>
          </w:p>
        </w:tc>
        <w:tc>
          <w:tcPr>
            <w:tcW w:w="1276" w:type="dxa"/>
            <w:noWrap/>
          </w:tcPr>
          <w:p w14:paraId="1BF21D2E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32561BCB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19551D2E" w14:textId="77777777" w:rsidTr="002255F4">
        <w:trPr>
          <w:trHeight w:val="510"/>
        </w:trPr>
        <w:tc>
          <w:tcPr>
            <w:tcW w:w="5920" w:type="dxa"/>
            <w:hideMark/>
          </w:tcPr>
          <w:p w14:paraId="20F74370" w14:textId="77777777" w:rsidR="002255F4" w:rsidRPr="00062B82" w:rsidRDefault="002255F4" w:rsidP="001F47FF">
            <w:pPr>
              <w:pStyle w:val="Bezmezer"/>
            </w:pPr>
            <w:r w:rsidRPr="00062B82">
              <w:t>komunikace s portály státní správy, se zdravotními pojišťovnami, penzijními fondy a s ČSSZ (veřejné rozhraní pro e-Podání), tzn. funkce - např. evidenčních listů k důchodovému pojištění apod.</w:t>
            </w:r>
          </w:p>
        </w:tc>
        <w:tc>
          <w:tcPr>
            <w:tcW w:w="1276" w:type="dxa"/>
            <w:noWrap/>
          </w:tcPr>
          <w:p w14:paraId="48E2D2F0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40C32451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511F86E2" w14:textId="77777777" w:rsidTr="002255F4">
        <w:trPr>
          <w:trHeight w:val="510"/>
        </w:trPr>
        <w:tc>
          <w:tcPr>
            <w:tcW w:w="5920" w:type="dxa"/>
          </w:tcPr>
          <w:p w14:paraId="714D3ACF" w14:textId="77777777" w:rsidR="002255F4" w:rsidRPr="00062B82" w:rsidRDefault="002255F4" w:rsidP="001F47FF">
            <w:pPr>
              <w:pStyle w:val="Bezmezer"/>
            </w:pPr>
            <w:r>
              <w:t>o</w:t>
            </w:r>
            <w:r w:rsidRPr="00062B82">
              <w:t>pravy do minulosti, možnost otevřít již uzavřené výplatní období</w:t>
            </w:r>
          </w:p>
        </w:tc>
        <w:tc>
          <w:tcPr>
            <w:tcW w:w="1276" w:type="dxa"/>
            <w:noWrap/>
          </w:tcPr>
          <w:p w14:paraId="3AD613E1" w14:textId="77777777" w:rsidR="002255F4" w:rsidRPr="00062B82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41C5822B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0172BA0C" w14:textId="77777777" w:rsidTr="002255F4">
        <w:trPr>
          <w:trHeight w:val="510"/>
        </w:trPr>
        <w:tc>
          <w:tcPr>
            <w:tcW w:w="5920" w:type="dxa"/>
            <w:vAlign w:val="center"/>
          </w:tcPr>
          <w:p w14:paraId="41866F15" w14:textId="77777777" w:rsidR="002255F4" w:rsidRDefault="002255F4" w:rsidP="00891E2E">
            <w:pPr>
              <w:pStyle w:val="Bezmezer"/>
              <w:numPr>
                <w:ilvl w:val="0"/>
                <w:numId w:val="21"/>
              </w:numPr>
            </w:pPr>
            <w:r>
              <w:t>automatický přepočet hrubé a čisté mzdy</w:t>
            </w:r>
          </w:p>
        </w:tc>
        <w:tc>
          <w:tcPr>
            <w:tcW w:w="1276" w:type="dxa"/>
            <w:noWrap/>
          </w:tcPr>
          <w:p w14:paraId="5D605072" w14:textId="77777777" w:rsidR="002255F4" w:rsidRPr="00062B82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2FAFAC2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0C1D8DF2" w14:textId="77777777" w:rsidTr="002255F4">
        <w:trPr>
          <w:trHeight w:val="510"/>
        </w:trPr>
        <w:tc>
          <w:tcPr>
            <w:tcW w:w="5920" w:type="dxa"/>
            <w:vAlign w:val="center"/>
          </w:tcPr>
          <w:p w14:paraId="29582279" w14:textId="77777777" w:rsidR="002255F4" w:rsidRDefault="002255F4" w:rsidP="00C72CE9">
            <w:pPr>
              <w:pStyle w:val="Bezmezer"/>
              <w:numPr>
                <w:ilvl w:val="0"/>
                <w:numId w:val="21"/>
              </w:numPr>
            </w:pPr>
            <w:r>
              <w:t>automatický přepočet zdravotního, sociálního pojištění a daně</w:t>
            </w:r>
          </w:p>
        </w:tc>
        <w:tc>
          <w:tcPr>
            <w:tcW w:w="1276" w:type="dxa"/>
            <w:noWrap/>
          </w:tcPr>
          <w:p w14:paraId="352F33B5" w14:textId="77777777" w:rsidR="002255F4" w:rsidRPr="00062B82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6EDF6B20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5F39E921" w14:textId="77777777" w:rsidTr="002255F4">
        <w:trPr>
          <w:trHeight w:val="510"/>
        </w:trPr>
        <w:tc>
          <w:tcPr>
            <w:tcW w:w="5920" w:type="dxa"/>
            <w:vAlign w:val="center"/>
          </w:tcPr>
          <w:p w14:paraId="64DB3A94" w14:textId="77777777" w:rsidR="002255F4" w:rsidRDefault="002255F4" w:rsidP="00891E2E">
            <w:pPr>
              <w:pStyle w:val="Bezmezer"/>
              <w:numPr>
                <w:ilvl w:val="0"/>
                <w:numId w:val="21"/>
              </w:numPr>
            </w:pPr>
            <w:r>
              <w:t>přepočet odpracovaných a neodpracovaných hodin přepočet průměrného hodinového výdělku</w:t>
            </w:r>
          </w:p>
        </w:tc>
        <w:tc>
          <w:tcPr>
            <w:tcW w:w="1276" w:type="dxa"/>
            <w:noWrap/>
          </w:tcPr>
          <w:p w14:paraId="49632C69" w14:textId="77777777" w:rsidR="002255F4" w:rsidRPr="00062B82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7CABA084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5A2DDF3A" w14:textId="77777777" w:rsidTr="002255F4">
        <w:trPr>
          <w:trHeight w:val="510"/>
        </w:trPr>
        <w:tc>
          <w:tcPr>
            <w:tcW w:w="5920" w:type="dxa"/>
            <w:vAlign w:val="center"/>
          </w:tcPr>
          <w:p w14:paraId="4BB17685" w14:textId="77777777" w:rsidR="002255F4" w:rsidRDefault="002255F4" w:rsidP="00891E2E">
            <w:pPr>
              <w:pStyle w:val="Bezmezer"/>
              <w:numPr>
                <w:ilvl w:val="0"/>
                <w:numId w:val="21"/>
              </w:numPr>
            </w:pPr>
            <w:r>
              <w:t>automatické zobrazení oprav ve výplatním lístku zaměstnance</w:t>
            </w:r>
          </w:p>
        </w:tc>
        <w:tc>
          <w:tcPr>
            <w:tcW w:w="1276" w:type="dxa"/>
            <w:noWrap/>
          </w:tcPr>
          <w:p w14:paraId="721CBCDB" w14:textId="77777777" w:rsidR="002255F4" w:rsidRPr="00062B82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3861704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7E980851" w14:textId="77777777" w:rsidTr="002255F4">
        <w:trPr>
          <w:trHeight w:val="300"/>
        </w:trPr>
        <w:tc>
          <w:tcPr>
            <w:tcW w:w="5920" w:type="dxa"/>
            <w:hideMark/>
          </w:tcPr>
          <w:p w14:paraId="2CD987B1" w14:textId="77777777" w:rsidR="002255F4" w:rsidRPr="00062B82" w:rsidRDefault="002255F4" w:rsidP="001F47FF">
            <w:pPr>
              <w:pStyle w:val="Bezmezer"/>
            </w:pPr>
            <w:r w:rsidRPr="00062B82">
              <w:t>import číselníku projektů</w:t>
            </w:r>
          </w:p>
        </w:tc>
        <w:tc>
          <w:tcPr>
            <w:tcW w:w="1276" w:type="dxa"/>
            <w:noWrap/>
          </w:tcPr>
          <w:p w14:paraId="3037600D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576CA8E4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6C26EA" w:rsidRPr="00062B82" w14:paraId="42BD9CBA" w14:textId="77777777" w:rsidTr="002255F4">
        <w:trPr>
          <w:trHeight w:val="300"/>
        </w:trPr>
        <w:tc>
          <w:tcPr>
            <w:tcW w:w="5920" w:type="dxa"/>
          </w:tcPr>
          <w:p w14:paraId="55DCF502" w14:textId="697EFA62" w:rsidR="006C26EA" w:rsidRPr="00062B82" w:rsidRDefault="006C26EA" w:rsidP="001F47FF">
            <w:pPr>
              <w:pStyle w:val="Bezmezer"/>
            </w:pPr>
            <w:r>
              <w:t>Vygenerování rekapitulace mezd za období včetně účtování OdPa, pol. atd. (celá rozpočtová věta včetně popisu)</w:t>
            </w:r>
          </w:p>
        </w:tc>
        <w:tc>
          <w:tcPr>
            <w:tcW w:w="1276" w:type="dxa"/>
            <w:noWrap/>
          </w:tcPr>
          <w:p w14:paraId="18B03129" w14:textId="77777777" w:rsidR="006C26EA" w:rsidRPr="00062B82" w:rsidRDefault="006C26EA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3A5AA6CB" w14:textId="77777777" w:rsidR="006C26EA" w:rsidRPr="00062B82" w:rsidRDefault="006C26EA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19FEA7E7" w14:textId="77777777" w:rsidTr="002255F4">
        <w:trPr>
          <w:trHeight w:val="600"/>
        </w:trPr>
        <w:tc>
          <w:tcPr>
            <w:tcW w:w="5920" w:type="dxa"/>
            <w:noWrap/>
            <w:hideMark/>
          </w:tcPr>
          <w:p w14:paraId="2984154C" w14:textId="77777777" w:rsidR="002255F4" w:rsidRPr="00062B82" w:rsidRDefault="002255F4" w:rsidP="001F47FF">
            <w:pPr>
              <w:rPr>
                <w:b/>
                <w:bCs/>
                <w:i/>
                <w:iCs/>
              </w:rPr>
            </w:pPr>
            <w:r w:rsidRPr="00062B82">
              <w:rPr>
                <w:b/>
                <w:bCs/>
                <w:i/>
                <w:iCs/>
              </w:rPr>
              <w:t>Věcné požadavky oblast docházky</w:t>
            </w:r>
          </w:p>
        </w:tc>
        <w:tc>
          <w:tcPr>
            <w:tcW w:w="1276" w:type="dxa"/>
            <w:hideMark/>
          </w:tcPr>
          <w:p w14:paraId="4B31C07A" w14:textId="77777777" w:rsidR="002255F4" w:rsidRPr="00062B82" w:rsidRDefault="002255F4" w:rsidP="001F47FF">
            <w:pPr>
              <w:rPr>
                <w:b/>
                <w:bCs/>
                <w:i/>
                <w:iCs/>
                <w:sz w:val="18"/>
              </w:rPr>
            </w:pPr>
            <w:r w:rsidRPr="00062B82">
              <w:rPr>
                <w:b/>
                <w:bCs/>
                <w:i/>
                <w:iCs/>
                <w:sz w:val="18"/>
              </w:rPr>
              <w:t>splňuje ve standardu</w:t>
            </w:r>
          </w:p>
        </w:tc>
        <w:tc>
          <w:tcPr>
            <w:tcW w:w="1329" w:type="dxa"/>
            <w:hideMark/>
          </w:tcPr>
          <w:p w14:paraId="4EB1E72E" w14:textId="77777777" w:rsidR="002255F4" w:rsidRPr="00062B82" w:rsidRDefault="002255F4" w:rsidP="001F47FF">
            <w:pPr>
              <w:rPr>
                <w:b/>
                <w:bCs/>
                <w:i/>
                <w:iCs/>
                <w:sz w:val="18"/>
              </w:rPr>
            </w:pPr>
            <w:r w:rsidRPr="00062B82">
              <w:rPr>
                <w:b/>
                <w:bCs/>
                <w:i/>
                <w:iCs/>
                <w:sz w:val="18"/>
              </w:rPr>
              <w:t>specifická konfigurace</w:t>
            </w:r>
          </w:p>
        </w:tc>
      </w:tr>
      <w:tr w:rsidR="002255F4" w:rsidRPr="00062B82" w14:paraId="6DC1F3B1" w14:textId="77777777" w:rsidTr="002255F4">
        <w:trPr>
          <w:trHeight w:val="510"/>
        </w:trPr>
        <w:tc>
          <w:tcPr>
            <w:tcW w:w="5920" w:type="dxa"/>
          </w:tcPr>
          <w:p w14:paraId="597C1ABD" w14:textId="7B5C735D" w:rsidR="002255F4" w:rsidRPr="0087778A" w:rsidRDefault="002255F4" w:rsidP="0087778A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801C24">
              <w:rPr>
                <w:rFonts w:cs="Arial"/>
              </w:rPr>
              <w:t>nadná evidence pracovní doby zaměstnanců s využitím docházkových terminálů nebo webové samoobsluhy</w:t>
            </w:r>
            <w:r w:rsidR="008F1594">
              <w:rPr>
                <w:rFonts w:cs="Arial"/>
              </w:rPr>
              <w:t xml:space="preserve"> pro evidenci příchodů, odchodů, dovolených či lékařů</w:t>
            </w:r>
          </w:p>
        </w:tc>
        <w:tc>
          <w:tcPr>
            <w:tcW w:w="1276" w:type="dxa"/>
            <w:noWrap/>
          </w:tcPr>
          <w:p w14:paraId="091AABFD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5F44CEE4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134B9EB3" w14:textId="77777777" w:rsidTr="002255F4">
        <w:trPr>
          <w:trHeight w:val="509"/>
        </w:trPr>
        <w:tc>
          <w:tcPr>
            <w:tcW w:w="5920" w:type="dxa"/>
          </w:tcPr>
          <w:p w14:paraId="44AEB899" w14:textId="77777777" w:rsidR="002255F4" w:rsidRPr="0087778A" w:rsidRDefault="002255F4" w:rsidP="0087778A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801C24">
              <w:rPr>
                <w:rFonts w:cs="Arial"/>
              </w:rPr>
              <w:t>ovnoměrné, nerovnoměrné, pevné i pružné rozvržení pracovní doby</w:t>
            </w:r>
          </w:p>
        </w:tc>
        <w:tc>
          <w:tcPr>
            <w:tcW w:w="1276" w:type="dxa"/>
            <w:noWrap/>
          </w:tcPr>
          <w:p w14:paraId="7DECA39D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7A4DBCA9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19AA6163" w14:textId="77777777" w:rsidTr="002255F4">
        <w:trPr>
          <w:trHeight w:val="595"/>
        </w:trPr>
        <w:tc>
          <w:tcPr>
            <w:tcW w:w="5920" w:type="dxa"/>
          </w:tcPr>
          <w:p w14:paraId="571403E1" w14:textId="04BAF8B4" w:rsidR="002255F4" w:rsidRPr="0087778A" w:rsidRDefault="002255F4" w:rsidP="0087778A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01C24">
              <w:rPr>
                <w:rFonts w:cs="Arial"/>
              </w:rPr>
              <w:t>ožnost elektronické žádosti a schválení zvolených nepřítomností</w:t>
            </w:r>
            <w:r w:rsidR="008F1594">
              <w:rPr>
                <w:rFonts w:cs="Arial"/>
              </w:rPr>
              <w:t xml:space="preserve"> – žádost odeslána na email. Proklikem z emailu lze žádost potvrdit či zamítnout.</w:t>
            </w:r>
          </w:p>
        </w:tc>
        <w:tc>
          <w:tcPr>
            <w:tcW w:w="1276" w:type="dxa"/>
            <w:noWrap/>
          </w:tcPr>
          <w:p w14:paraId="35E5BA30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4924890C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09292300" w14:textId="77777777" w:rsidTr="002255F4">
        <w:trPr>
          <w:trHeight w:val="510"/>
        </w:trPr>
        <w:tc>
          <w:tcPr>
            <w:tcW w:w="5920" w:type="dxa"/>
          </w:tcPr>
          <w:p w14:paraId="3866C624" w14:textId="77777777" w:rsidR="002255F4" w:rsidRPr="0087778A" w:rsidRDefault="002255F4" w:rsidP="0087778A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801C24">
              <w:rPr>
                <w:rFonts w:cs="Arial"/>
              </w:rPr>
              <w:t>trukturovaný přehled odpracovaných i neodpracovaných hodin v jednotlivých směnách i kumulativních dat ve zvoleném období</w:t>
            </w:r>
          </w:p>
        </w:tc>
        <w:tc>
          <w:tcPr>
            <w:tcW w:w="1276" w:type="dxa"/>
            <w:noWrap/>
          </w:tcPr>
          <w:p w14:paraId="59CC2F3D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093D210A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56DCA00F" w14:textId="77777777" w:rsidTr="002255F4">
        <w:trPr>
          <w:trHeight w:val="510"/>
        </w:trPr>
        <w:tc>
          <w:tcPr>
            <w:tcW w:w="5920" w:type="dxa"/>
          </w:tcPr>
          <w:p w14:paraId="0A306A7B" w14:textId="77777777" w:rsidR="002255F4" w:rsidRPr="0087778A" w:rsidRDefault="002255F4" w:rsidP="0087778A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01C24">
              <w:rPr>
                <w:rFonts w:cs="Arial"/>
              </w:rPr>
              <w:t>anuální zadávání a editace docházkových dat dle přidělených oprávnění prostřednictvím webové samoobsluhy</w:t>
            </w:r>
          </w:p>
        </w:tc>
        <w:tc>
          <w:tcPr>
            <w:tcW w:w="1276" w:type="dxa"/>
            <w:noWrap/>
          </w:tcPr>
          <w:p w14:paraId="7E719BFD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677A38A9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6E6566C8" w14:textId="77777777" w:rsidTr="002255F4">
        <w:trPr>
          <w:trHeight w:val="510"/>
        </w:trPr>
        <w:tc>
          <w:tcPr>
            <w:tcW w:w="5920" w:type="dxa"/>
          </w:tcPr>
          <w:p w14:paraId="68F5322B" w14:textId="77777777" w:rsidR="002255F4" w:rsidRPr="0087778A" w:rsidRDefault="002255F4" w:rsidP="0087778A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01C24">
              <w:rPr>
                <w:rFonts w:cs="Arial"/>
              </w:rPr>
              <w:t>anažerský přehled pracovní doby podřízených, upozornění na chyby v</w:t>
            </w:r>
            <w:r>
              <w:rPr>
                <w:rFonts w:cs="Arial"/>
              </w:rPr>
              <w:t> </w:t>
            </w:r>
            <w:r w:rsidRPr="00801C24">
              <w:rPr>
                <w:rFonts w:cs="Arial"/>
              </w:rPr>
              <w:t>evidenci</w:t>
            </w:r>
          </w:p>
        </w:tc>
        <w:tc>
          <w:tcPr>
            <w:tcW w:w="1276" w:type="dxa"/>
            <w:noWrap/>
          </w:tcPr>
          <w:p w14:paraId="219289D8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0DBEDE5E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46EA8AEE" w14:textId="77777777" w:rsidTr="002255F4">
        <w:trPr>
          <w:trHeight w:val="349"/>
        </w:trPr>
        <w:tc>
          <w:tcPr>
            <w:tcW w:w="5920" w:type="dxa"/>
          </w:tcPr>
          <w:p w14:paraId="4324EE0F" w14:textId="77777777" w:rsidR="002255F4" w:rsidRPr="0087778A" w:rsidRDefault="002255F4" w:rsidP="0094525B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01C24">
              <w:rPr>
                <w:rFonts w:cs="Arial"/>
              </w:rPr>
              <w:t>ožnost plánování směn</w:t>
            </w:r>
          </w:p>
        </w:tc>
        <w:tc>
          <w:tcPr>
            <w:tcW w:w="1276" w:type="dxa"/>
            <w:noWrap/>
          </w:tcPr>
          <w:p w14:paraId="7ACD8266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391071CD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7314BAA4" w14:textId="77777777" w:rsidTr="002255F4">
        <w:trPr>
          <w:trHeight w:val="349"/>
        </w:trPr>
        <w:tc>
          <w:tcPr>
            <w:tcW w:w="5920" w:type="dxa"/>
          </w:tcPr>
          <w:p w14:paraId="2EE0B4EA" w14:textId="77777777" w:rsidR="002255F4" w:rsidRDefault="002255F4" w:rsidP="003D18B4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možnost definovat dlouhodobý plán</w:t>
            </w:r>
          </w:p>
        </w:tc>
        <w:tc>
          <w:tcPr>
            <w:tcW w:w="1276" w:type="dxa"/>
            <w:noWrap/>
          </w:tcPr>
          <w:p w14:paraId="7D89306C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1313A103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0AB00075" w14:textId="77777777" w:rsidTr="002255F4">
        <w:trPr>
          <w:trHeight w:val="349"/>
        </w:trPr>
        <w:tc>
          <w:tcPr>
            <w:tcW w:w="5920" w:type="dxa"/>
          </w:tcPr>
          <w:p w14:paraId="7D491B83" w14:textId="77777777" w:rsidR="002255F4" w:rsidRDefault="002255F4" w:rsidP="003D18B4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možnost žádat z pohledu zaměstnance o ne/přidělení směny, resp. kdy může pracovat nebo nemůže pracovat (půlúvazky)</w:t>
            </w:r>
          </w:p>
        </w:tc>
        <w:tc>
          <w:tcPr>
            <w:tcW w:w="1276" w:type="dxa"/>
            <w:noWrap/>
          </w:tcPr>
          <w:p w14:paraId="78B16D31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49B6F3B3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39660EEF" w14:textId="77777777" w:rsidTr="002255F4">
        <w:trPr>
          <w:trHeight w:val="349"/>
        </w:trPr>
        <w:tc>
          <w:tcPr>
            <w:tcW w:w="5920" w:type="dxa"/>
          </w:tcPr>
          <w:p w14:paraId="1D0E4799" w14:textId="77777777" w:rsidR="002255F4" w:rsidRDefault="002255F4" w:rsidP="003D18B4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možnost kontroly z pohledu plánovače směn, kdy a kdo má zájem o směnu a nástroj přímého přiřazení směny danému zaměstnanci</w:t>
            </w:r>
          </w:p>
        </w:tc>
        <w:tc>
          <w:tcPr>
            <w:tcW w:w="1276" w:type="dxa"/>
            <w:noWrap/>
          </w:tcPr>
          <w:p w14:paraId="47DD69CF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14311101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439B4114" w14:textId="77777777" w:rsidTr="002255F4">
        <w:trPr>
          <w:trHeight w:val="349"/>
        </w:trPr>
        <w:tc>
          <w:tcPr>
            <w:tcW w:w="5920" w:type="dxa"/>
          </w:tcPr>
          <w:p w14:paraId="1B57A9D0" w14:textId="77777777" w:rsidR="002255F4" w:rsidRDefault="002255F4" w:rsidP="003D18B4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hromadné zrušení žádostí nad kalendářem výběrem jednolitých dní</w:t>
            </w:r>
          </w:p>
        </w:tc>
        <w:tc>
          <w:tcPr>
            <w:tcW w:w="1276" w:type="dxa"/>
            <w:noWrap/>
          </w:tcPr>
          <w:p w14:paraId="0D1A52E1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45EA2BB3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4DEA6BCE" w14:textId="77777777" w:rsidTr="002255F4">
        <w:trPr>
          <w:trHeight w:val="349"/>
        </w:trPr>
        <w:tc>
          <w:tcPr>
            <w:tcW w:w="5920" w:type="dxa"/>
          </w:tcPr>
          <w:p w14:paraId="361C67F2" w14:textId="77777777" w:rsidR="002255F4" w:rsidRDefault="002255F4" w:rsidP="003D18B4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možnost zařazení zaměstnance do více skupin s možností zadání</w:t>
            </w:r>
          </w:p>
        </w:tc>
        <w:tc>
          <w:tcPr>
            <w:tcW w:w="1276" w:type="dxa"/>
            <w:noWrap/>
          </w:tcPr>
          <w:p w14:paraId="7ACC73EB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108809BE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08A58828" w14:textId="77777777" w:rsidTr="002255F4">
        <w:trPr>
          <w:trHeight w:val="300"/>
        </w:trPr>
        <w:tc>
          <w:tcPr>
            <w:tcW w:w="5920" w:type="dxa"/>
          </w:tcPr>
          <w:p w14:paraId="35369700" w14:textId="77777777" w:rsidR="002255F4" w:rsidRPr="0087778A" w:rsidRDefault="002255F4" w:rsidP="0087778A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801C24">
              <w:rPr>
                <w:rFonts w:cs="Arial"/>
              </w:rPr>
              <w:t>vidence práce na projektech s vazbou na mzdový systém</w:t>
            </w:r>
          </w:p>
        </w:tc>
        <w:tc>
          <w:tcPr>
            <w:tcW w:w="1276" w:type="dxa"/>
            <w:noWrap/>
          </w:tcPr>
          <w:p w14:paraId="0A4BBAB0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1645A3B1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782BED49" w14:textId="77777777" w:rsidTr="002255F4">
        <w:trPr>
          <w:trHeight w:val="300"/>
        </w:trPr>
        <w:tc>
          <w:tcPr>
            <w:tcW w:w="5920" w:type="dxa"/>
          </w:tcPr>
          <w:p w14:paraId="51652B9D" w14:textId="77777777" w:rsidR="002255F4" w:rsidRPr="0087778A" w:rsidRDefault="002255F4" w:rsidP="0087778A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801C24">
              <w:rPr>
                <w:rFonts w:cs="Arial"/>
              </w:rPr>
              <w:t>lektronické uzavírání a schvalování docházky s </w:t>
            </w:r>
            <w:r>
              <w:rPr>
                <w:rFonts w:cs="Arial"/>
              </w:rPr>
              <w:t>nást</w:t>
            </w:r>
            <w:r w:rsidRPr="00801C24">
              <w:rPr>
                <w:rFonts w:cs="Arial"/>
              </w:rPr>
              <w:t xml:space="preserve">roji </w:t>
            </w:r>
            <w:r>
              <w:rPr>
                <w:rFonts w:cs="Arial"/>
              </w:rPr>
              <w:t>a</w:t>
            </w:r>
            <w:r w:rsidRPr="00801C24">
              <w:rPr>
                <w:rFonts w:cs="Arial"/>
              </w:rPr>
              <w:t>utomatické</w:t>
            </w:r>
            <w:r>
              <w:rPr>
                <w:rFonts w:cs="Arial"/>
              </w:rPr>
              <w:t>ho</w:t>
            </w:r>
            <w:r w:rsidRPr="00801C24">
              <w:rPr>
                <w:rFonts w:cs="Arial"/>
              </w:rPr>
              <w:t xml:space="preserve"> vyhodnocení docházky, upozornění na případné chyby a </w:t>
            </w:r>
            <w:r>
              <w:rPr>
                <w:rFonts w:cs="Arial"/>
              </w:rPr>
              <w:t>pro jejich opravu</w:t>
            </w:r>
          </w:p>
        </w:tc>
        <w:tc>
          <w:tcPr>
            <w:tcW w:w="1276" w:type="dxa"/>
            <w:noWrap/>
          </w:tcPr>
          <w:p w14:paraId="31471202" w14:textId="77777777" w:rsidR="002255F4" w:rsidRPr="00062B82" w:rsidRDefault="002255F4" w:rsidP="001F47FF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0E8AA6C1" w14:textId="77777777" w:rsidR="002255F4" w:rsidRPr="00062B82" w:rsidRDefault="002255F4" w:rsidP="001F47FF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062B82" w14:paraId="51327E48" w14:textId="77777777" w:rsidTr="002255F4">
        <w:trPr>
          <w:trHeight w:val="300"/>
        </w:trPr>
        <w:tc>
          <w:tcPr>
            <w:tcW w:w="5920" w:type="dxa"/>
          </w:tcPr>
          <w:p w14:paraId="483B0C0B" w14:textId="77777777" w:rsidR="002255F4" w:rsidRPr="0087778A" w:rsidRDefault="002255F4" w:rsidP="0087778A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01C24">
              <w:rPr>
                <w:rFonts w:cs="Arial"/>
              </w:rPr>
              <w:t>onitorování přítomnosti osob na pracovišti včetně evidence důvodů odchodu</w:t>
            </w:r>
          </w:p>
        </w:tc>
        <w:tc>
          <w:tcPr>
            <w:tcW w:w="1276" w:type="dxa"/>
            <w:noWrap/>
          </w:tcPr>
          <w:p w14:paraId="1C49EC06" w14:textId="77777777" w:rsidR="002255F4" w:rsidRPr="00062B82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5AF0567A" w14:textId="77777777" w:rsidR="002255F4" w:rsidRPr="00062B82" w:rsidRDefault="002255F4" w:rsidP="001F47FF">
            <w:pPr>
              <w:spacing w:after="0"/>
            </w:pPr>
          </w:p>
        </w:tc>
      </w:tr>
      <w:tr w:rsidR="002255F4" w:rsidRPr="00062B82" w14:paraId="095781A9" w14:textId="77777777" w:rsidTr="002255F4">
        <w:trPr>
          <w:trHeight w:val="300"/>
        </w:trPr>
        <w:tc>
          <w:tcPr>
            <w:tcW w:w="5920" w:type="dxa"/>
          </w:tcPr>
          <w:p w14:paraId="19236294" w14:textId="77777777" w:rsidR="002255F4" w:rsidRPr="0087778A" w:rsidRDefault="002255F4" w:rsidP="0087778A">
            <w:pPr>
              <w:pStyle w:val="odrazka1lvl"/>
              <w:numPr>
                <w:ilvl w:val="0"/>
                <w:numId w:val="0"/>
              </w:numPr>
              <w:contextualSpacing/>
            </w:pPr>
            <w:r>
              <w:t>předávání docházkových dat pro výpočet mezd v rámci systému</w:t>
            </w:r>
          </w:p>
        </w:tc>
        <w:tc>
          <w:tcPr>
            <w:tcW w:w="1276" w:type="dxa"/>
            <w:noWrap/>
          </w:tcPr>
          <w:p w14:paraId="7D899A1C" w14:textId="77777777" w:rsidR="002255F4" w:rsidRPr="00062B82" w:rsidRDefault="002255F4" w:rsidP="001F47FF">
            <w:pPr>
              <w:pStyle w:val="Bezmezer"/>
            </w:pPr>
          </w:p>
        </w:tc>
        <w:tc>
          <w:tcPr>
            <w:tcW w:w="1329" w:type="dxa"/>
            <w:noWrap/>
          </w:tcPr>
          <w:p w14:paraId="22EA15EA" w14:textId="77777777" w:rsidR="002255F4" w:rsidRPr="00062B82" w:rsidRDefault="002255F4" w:rsidP="001F47FF">
            <w:pPr>
              <w:spacing w:after="0"/>
            </w:pPr>
          </w:p>
        </w:tc>
      </w:tr>
      <w:tr w:rsidR="002255F4" w:rsidRPr="00062B82" w14:paraId="5FCCF018" w14:textId="77777777" w:rsidTr="002255F4">
        <w:trPr>
          <w:trHeight w:val="300"/>
        </w:trPr>
        <w:tc>
          <w:tcPr>
            <w:tcW w:w="5920" w:type="dxa"/>
          </w:tcPr>
          <w:p w14:paraId="7D15E717" w14:textId="77777777" w:rsidR="002255F4" w:rsidRDefault="002255F4" w:rsidP="00BE0A23">
            <w:pPr>
              <w:pStyle w:val="Bezmezer"/>
            </w:pPr>
            <w:r>
              <w:t>Kontrola zákonných lhůt odpočinku mezi směnami s možností některé chyby docházky označit jako „akceptované“</w:t>
            </w:r>
          </w:p>
          <w:p w14:paraId="4C4F4E1F" w14:textId="77777777" w:rsidR="002255F4" w:rsidRDefault="002255F4" w:rsidP="00BE0A23">
            <w:pPr>
              <w:pStyle w:val="Bezmezer"/>
              <w:numPr>
                <w:ilvl w:val="0"/>
                <w:numId w:val="24"/>
              </w:numPr>
            </w:pPr>
            <w:r>
              <w:t>odpočinek mezi směnami,</w:t>
            </w:r>
          </w:p>
          <w:p w14:paraId="1974E357" w14:textId="77777777" w:rsidR="002255F4" w:rsidRDefault="002255F4" w:rsidP="00BE0A23">
            <w:pPr>
              <w:pStyle w:val="Bezmezer"/>
              <w:numPr>
                <w:ilvl w:val="0"/>
                <w:numId w:val="24"/>
              </w:numPr>
            </w:pPr>
            <w:r>
              <w:t>nepřetržitý odpočinek v týdnu,</w:t>
            </w:r>
          </w:p>
          <w:p w14:paraId="34423F8C" w14:textId="77777777" w:rsidR="002255F4" w:rsidRDefault="002255F4" w:rsidP="00BE0A23">
            <w:pPr>
              <w:pStyle w:val="Bezmezer"/>
              <w:numPr>
                <w:ilvl w:val="0"/>
                <w:numId w:val="24"/>
              </w:numPr>
            </w:pPr>
            <w:r>
              <w:t>odpočinek mezi prací,</w:t>
            </w:r>
          </w:p>
          <w:p w14:paraId="6C8CA783" w14:textId="77777777" w:rsidR="002255F4" w:rsidRDefault="002255F4" w:rsidP="00BE0A23">
            <w:pPr>
              <w:pStyle w:val="Bezmezer"/>
              <w:numPr>
                <w:ilvl w:val="0"/>
                <w:numId w:val="24"/>
              </w:numPr>
            </w:pPr>
            <w:r>
              <w:t>n</w:t>
            </w:r>
            <w:r w:rsidRPr="007A7F81">
              <w:t>epřetržitý odpočinek v</w:t>
            </w:r>
            <w:r>
              <w:t> </w:t>
            </w:r>
            <w:r w:rsidRPr="007A7F81">
              <w:t>týdnu</w:t>
            </w:r>
            <w:r>
              <w:t>,</w:t>
            </w:r>
          </w:p>
          <w:p w14:paraId="6B033BA2" w14:textId="77777777" w:rsidR="002255F4" w:rsidRDefault="002255F4" w:rsidP="00BE0A23">
            <w:pPr>
              <w:pStyle w:val="Bezmezer"/>
              <w:numPr>
                <w:ilvl w:val="0"/>
                <w:numId w:val="24"/>
              </w:numPr>
            </w:pPr>
            <w:r>
              <w:t>n</w:t>
            </w:r>
            <w:r w:rsidRPr="007A7F81">
              <w:t>ásledující odpočinek mezi směnami nebyl prodloužen o zkrácení předchozího odpočinku</w:t>
            </w:r>
            <w:r>
              <w:t>,</w:t>
            </w:r>
          </w:p>
          <w:p w14:paraId="7613972E" w14:textId="77777777" w:rsidR="002255F4" w:rsidRDefault="002255F4" w:rsidP="00BE0A23">
            <w:pPr>
              <w:pStyle w:val="Bezmezer"/>
              <w:numPr>
                <w:ilvl w:val="0"/>
                <w:numId w:val="24"/>
              </w:numPr>
            </w:pPr>
            <w:r>
              <w:t>s</w:t>
            </w:r>
            <w:r w:rsidRPr="007A7F81">
              <w:t>oučet nepřetržitého odpočinku v týdnu po zkrácení</w:t>
            </w:r>
          </w:p>
        </w:tc>
        <w:tc>
          <w:tcPr>
            <w:tcW w:w="1276" w:type="dxa"/>
            <w:noWrap/>
          </w:tcPr>
          <w:p w14:paraId="689BBE1D" w14:textId="77777777" w:rsidR="002255F4" w:rsidRPr="00062B82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39D948DC" w14:textId="77777777" w:rsidR="002255F4" w:rsidRPr="00062B82" w:rsidRDefault="002255F4" w:rsidP="00BE0A23">
            <w:pPr>
              <w:spacing w:after="0"/>
            </w:pPr>
          </w:p>
        </w:tc>
      </w:tr>
      <w:tr w:rsidR="002255F4" w:rsidRPr="00062B82" w14:paraId="5F8F8B78" w14:textId="77777777" w:rsidTr="002255F4">
        <w:trPr>
          <w:trHeight w:val="300"/>
        </w:trPr>
        <w:tc>
          <w:tcPr>
            <w:tcW w:w="5920" w:type="dxa"/>
          </w:tcPr>
          <w:p w14:paraId="5423B032" w14:textId="77777777" w:rsidR="002255F4" w:rsidRPr="004D7300" w:rsidRDefault="002255F4" w:rsidP="00BE0A23">
            <w:r>
              <w:rPr>
                <w:b/>
              </w:rPr>
              <w:t xml:space="preserve">Podpora různých </w:t>
            </w:r>
            <w:r>
              <w:t>způsobů pořizování docházkových dat včetně jejich jednotlivých kombinací</w:t>
            </w:r>
          </w:p>
          <w:p w14:paraId="782B4215" w14:textId="77777777" w:rsidR="002255F4" w:rsidRPr="008226A5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F573C">
              <w:rPr>
                <w:rFonts w:cs="Arial"/>
              </w:rPr>
              <w:t xml:space="preserve">řes docházkové </w:t>
            </w:r>
            <w:r w:rsidR="005D2C56" w:rsidRPr="007F573C">
              <w:rPr>
                <w:rFonts w:cs="Arial"/>
              </w:rPr>
              <w:t>terminály</w:t>
            </w:r>
            <w:r w:rsidR="005D2C56" w:rsidRPr="00801C24">
              <w:rPr>
                <w:rFonts w:cs="Arial"/>
              </w:rPr>
              <w:t xml:space="preserve"> – znamenaná</w:t>
            </w:r>
            <w:r w:rsidRPr="00801C24">
              <w:rPr>
                <w:rFonts w:cs="Arial"/>
              </w:rPr>
              <w:t xml:space="preserve"> data se automaticky propíší do databáze a jsou online dostupná k nahlížení přes webovou aplikaci.</w:t>
            </w:r>
          </w:p>
        </w:tc>
        <w:tc>
          <w:tcPr>
            <w:tcW w:w="1276" w:type="dxa"/>
            <w:noWrap/>
          </w:tcPr>
          <w:p w14:paraId="2E930A41" w14:textId="77777777" w:rsidR="002255F4" w:rsidRPr="00062B82" w:rsidRDefault="002255F4" w:rsidP="00BE0A23">
            <w:pPr>
              <w:pStyle w:val="Bezmezer"/>
              <w:rPr>
                <w:rFonts w:cs="Calibri"/>
                <w:color w:val="000000"/>
              </w:rPr>
            </w:pPr>
          </w:p>
        </w:tc>
        <w:tc>
          <w:tcPr>
            <w:tcW w:w="1329" w:type="dxa"/>
            <w:noWrap/>
          </w:tcPr>
          <w:p w14:paraId="59FD255F" w14:textId="77777777" w:rsidR="002255F4" w:rsidRPr="00062B82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58C54A78" w14:textId="77777777" w:rsidTr="002255F4">
        <w:trPr>
          <w:trHeight w:val="300"/>
        </w:trPr>
        <w:tc>
          <w:tcPr>
            <w:tcW w:w="5920" w:type="dxa"/>
          </w:tcPr>
          <w:p w14:paraId="20E67242" w14:textId="77777777" w:rsidR="002255F4" w:rsidRPr="008226A5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801C24">
              <w:rPr>
                <w:rFonts w:cs="Arial"/>
              </w:rPr>
              <w:t>egativní docházka – každý zaměstnanec svá docházková data zaznamenává sám pro sebe (případně pro další zaměstnance dle oprávnění) pomocí webové aplikaci jednoduchým vyplněním časů příchodu a odchodu a dalších docházkových přerušení</w:t>
            </w:r>
          </w:p>
        </w:tc>
        <w:tc>
          <w:tcPr>
            <w:tcW w:w="1276" w:type="dxa"/>
            <w:noWrap/>
          </w:tcPr>
          <w:p w14:paraId="43BA0486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524C6B82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51C232E8" w14:textId="77777777" w:rsidTr="002255F4">
        <w:trPr>
          <w:trHeight w:val="300"/>
        </w:trPr>
        <w:tc>
          <w:tcPr>
            <w:tcW w:w="5920" w:type="dxa"/>
          </w:tcPr>
          <w:p w14:paraId="23C6BB2E" w14:textId="77777777" w:rsidR="002255F4" w:rsidRPr="008226A5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801C24">
              <w:rPr>
                <w:rFonts w:cs="Arial"/>
              </w:rPr>
              <w:t>enerovaná docházka – zaměstnanci mají automaticky generovanou předem stanovenou pracovní dobu a do těchto dat se zaznamenávají pouze tzv. negativní záznamy jako je nepřítomnost na pracovišti, ať už z důvodu dovolené, služební cesty, nemoci nebo jiné</w:t>
            </w:r>
          </w:p>
        </w:tc>
        <w:tc>
          <w:tcPr>
            <w:tcW w:w="1276" w:type="dxa"/>
            <w:noWrap/>
          </w:tcPr>
          <w:p w14:paraId="1A07A888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32D9348F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436840BE" w14:textId="77777777" w:rsidTr="002255F4">
        <w:trPr>
          <w:trHeight w:val="300"/>
        </w:trPr>
        <w:tc>
          <w:tcPr>
            <w:tcW w:w="5920" w:type="dxa"/>
          </w:tcPr>
          <w:p w14:paraId="2227C9C5" w14:textId="77777777" w:rsidR="002255F4" w:rsidRPr="00F56CC0" w:rsidRDefault="002255F4" w:rsidP="00BE0A23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 xml:space="preserve">Nástroje pro </w:t>
            </w:r>
            <w:r w:rsidRPr="002F111E">
              <w:rPr>
                <w:rFonts w:cs="Arial"/>
              </w:rPr>
              <w:t>nastavení pevné i pružné pracovní doby: týdenní, měsíční</w:t>
            </w:r>
            <w:r>
              <w:rPr>
                <w:rFonts w:cs="Arial"/>
              </w:rPr>
              <w:t xml:space="preserve">, </w:t>
            </w:r>
            <w:r>
              <w:t>26 týdnů (52)</w:t>
            </w:r>
            <w:r w:rsidRPr="009D3B86">
              <w:t xml:space="preserve"> vyrovnávací období</w:t>
            </w:r>
          </w:p>
        </w:tc>
        <w:tc>
          <w:tcPr>
            <w:tcW w:w="1276" w:type="dxa"/>
            <w:noWrap/>
          </w:tcPr>
          <w:p w14:paraId="6B745C16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69FDA9CE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2E12CA61" w14:textId="77777777" w:rsidTr="002255F4">
        <w:trPr>
          <w:trHeight w:val="300"/>
        </w:trPr>
        <w:tc>
          <w:tcPr>
            <w:tcW w:w="5920" w:type="dxa"/>
          </w:tcPr>
          <w:p w14:paraId="11888B00" w14:textId="77777777" w:rsidR="002255F4" w:rsidRPr="002F111E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56CC0">
              <w:rPr>
                <w:rFonts w:cs="Arial"/>
              </w:rPr>
              <w:t>ožnost použití více rozvrhů pracovní doby z důvodů možných specifických docházek některých zaměstnanců, kde rozvrhy obsahují:</w:t>
            </w:r>
          </w:p>
          <w:p w14:paraId="3E492789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 w:rsidRPr="00F56CC0">
              <w:rPr>
                <w:rFonts w:cs="Arial"/>
              </w:rPr>
              <w:t>hranice intervalů pevné a pružné části pracovní doby pro každý den v týdnu,</w:t>
            </w:r>
          </w:p>
        </w:tc>
        <w:tc>
          <w:tcPr>
            <w:tcW w:w="1276" w:type="dxa"/>
            <w:noWrap/>
          </w:tcPr>
          <w:p w14:paraId="177E96E0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6E6EDCA0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0B2CF90D" w14:textId="77777777" w:rsidTr="002255F4">
        <w:trPr>
          <w:trHeight w:val="300"/>
        </w:trPr>
        <w:tc>
          <w:tcPr>
            <w:tcW w:w="5920" w:type="dxa"/>
          </w:tcPr>
          <w:p w14:paraId="21EAC694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 w:rsidRPr="00F56CC0">
              <w:rPr>
                <w:rFonts w:cs="Arial"/>
              </w:rPr>
              <w:t>pracovní fond</w:t>
            </w:r>
          </w:p>
        </w:tc>
        <w:tc>
          <w:tcPr>
            <w:tcW w:w="1276" w:type="dxa"/>
            <w:noWrap/>
          </w:tcPr>
          <w:p w14:paraId="46D0DF5A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56155364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303D0683" w14:textId="77777777" w:rsidTr="002255F4">
        <w:trPr>
          <w:trHeight w:val="300"/>
        </w:trPr>
        <w:tc>
          <w:tcPr>
            <w:tcW w:w="5920" w:type="dxa"/>
          </w:tcPr>
          <w:p w14:paraId="575B1368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 w:rsidRPr="00F56CC0">
              <w:rPr>
                <w:rFonts w:cs="Arial"/>
              </w:rPr>
              <w:t>typ pracovní doby (pružná, pevná)</w:t>
            </w:r>
          </w:p>
        </w:tc>
        <w:tc>
          <w:tcPr>
            <w:tcW w:w="1276" w:type="dxa"/>
            <w:noWrap/>
          </w:tcPr>
          <w:p w14:paraId="5C0452A6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2CE38A4A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67EFE596" w14:textId="77777777" w:rsidTr="002255F4">
        <w:trPr>
          <w:trHeight w:val="300"/>
        </w:trPr>
        <w:tc>
          <w:tcPr>
            <w:tcW w:w="5920" w:type="dxa"/>
          </w:tcPr>
          <w:p w14:paraId="302F89F6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 w:rsidRPr="00F56CC0">
              <w:rPr>
                <w:rFonts w:cs="Arial"/>
              </w:rPr>
              <w:t>úvazek (včetně možnosti</w:t>
            </w:r>
            <w:r>
              <w:rPr>
                <w:rFonts w:cs="Arial"/>
              </w:rPr>
              <w:t xml:space="preserve"> nastavení zkráceného </w:t>
            </w:r>
            <w:r w:rsidRPr="00F56CC0">
              <w:rPr>
                <w:rFonts w:cs="Arial"/>
              </w:rPr>
              <w:t>úvazku</w:t>
            </w:r>
          </w:p>
        </w:tc>
        <w:tc>
          <w:tcPr>
            <w:tcW w:w="1276" w:type="dxa"/>
            <w:noWrap/>
          </w:tcPr>
          <w:p w14:paraId="2ACC68F4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7EE31029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32701178" w14:textId="77777777" w:rsidTr="002255F4">
        <w:trPr>
          <w:trHeight w:val="300"/>
        </w:trPr>
        <w:tc>
          <w:tcPr>
            <w:tcW w:w="5920" w:type="dxa"/>
          </w:tcPr>
          <w:p w14:paraId="79478C85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 w:rsidRPr="00F56CC0">
              <w:rPr>
                <w:rFonts w:cs="Arial"/>
              </w:rPr>
              <w:lastRenderedPageBreak/>
              <w:t>způsob a délku generovaných přestávek</w:t>
            </w:r>
          </w:p>
        </w:tc>
        <w:tc>
          <w:tcPr>
            <w:tcW w:w="1276" w:type="dxa"/>
            <w:noWrap/>
          </w:tcPr>
          <w:p w14:paraId="48E6D323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5A3EB344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0D27EEAB" w14:textId="77777777" w:rsidTr="002255F4">
        <w:trPr>
          <w:trHeight w:val="300"/>
        </w:trPr>
        <w:tc>
          <w:tcPr>
            <w:tcW w:w="5920" w:type="dxa"/>
          </w:tcPr>
          <w:p w14:paraId="105AF34D" w14:textId="77777777" w:rsidR="002255F4" w:rsidRPr="002F111E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 w:rsidRPr="00F56CC0">
              <w:rPr>
                <w:rFonts w:cs="Arial"/>
              </w:rPr>
              <w:t>uživatelské nastavení automaticky vkládané délky přestávky</w:t>
            </w:r>
          </w:p>
          <w:p w14:paraId="0C348820" w14:textId="77777777" w:rsidR="002255F4" w:rsidRPr="002F111E" w:rsidRDefault="002255F4" w:rsidP="00BE0A23">
            <w:pPr>
              <w:pStyle w:val="Bezmezer"/>
              <w:numPr>
                <w:ilvl w:val="1"/>
                <w:numId w:val="21"/>
              </w:numPr>
              <w:ind w:left="1140"/>
              <w:rPr>
                <w:rFonts w:cs="Arial"/>
              </w:rPr>
            </w:pPr>
            <w:r w:rsidRPr="00F56CC0">
              <w:rPr>
                <w:rFonts w:cs="Arial"/>
              </w:rPr>
              <w:t>automatické generování přestávky, pro případ neoznačení přestávky</w:t>
            </w:r>
          </w:p>
          <w:p w14:paraId="5656DB1C" w14:textId="77777777" w:rsidR="002255F4" w:rsidRPr="00F56CC0" w:rsidRDefault="002255F4" w:rsidP="00BE0A23">
            <w:pPr>
              <w:pStyle w:val="Bezmezer"/>
              <w:numPr>
                <w:ilvl w:val="1"/>
                <w:numId w:val="21"/>
              </w:numPr>
              <w:ind w:left="1140"/>
              <w:rPr>
                <w:rFonts w:cs="Arial"/>
              </w:rPr>
            </w:pPr>
            <w:r w:rsidRPr="00F56CC0">
              <w:rPr>
                <w:rFonts w:cs="Arial"/>
              </w:rPr>
              <w:t>s nastavitelným intervalem</w:t>
            </w:r>
          </w:p>
        </w:tc>
        <w:tc>
          <w:tcPr>
            <w:tcW w:w="1276" w:type="dxa"/>
            <w:noWrap/>
          </w:tcPr>
          <w:p w14:paraId="5D20B6CF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4B1203C8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0D9614D8" w14:textId="77777777" w:rsidTr="002255F4">
        <w:trPr>
          <w:trHeight w:val="300"/>
        </w:trPr>
        <w:tc>
          <w:tcPr>
            <w:tcW w:w="5920" w:type="dxa"/>
          </w:tcPr>
          <w:p w14:paraId="4FFBD5E2" w14:textId="77777777" w:rsidR="002255F4" w:rsidRDefault="002255F4" w:rsidP="00BE0A23">
            <w:pPr>
              <w:pStyle w:val="Bezmezer"/>
              <w:rPr>
                <w:rFonts w:cs="Arial"/>
              </w:rPr>
            </w:pPr>
            <w:r>
              <w:t>nástroje pro tvorbu</w:t>
            </w:r>
            <w:r w:rsidRPr="009D3B86">
              <w:t>, vedení a distribuce jednotlivých rozvrhů směn (plánování na celý rok, změny a úpravy v rozvrhu formou mimořádných směn i v průběhu měsíce)</w:t>
            </w:r>
            <w:r>
              <w:t>.</w:t>
            </w:r>
          </w:p>
        </w:tc>
        <w:tc>
          <w:tcPr>
            <w:tcW w:w="1276" w:type="dxa"/>
            <w:noWrap/>
          </w:tcPr>
          <w:p w14:paraId="0B492F0C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119EA113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0058B55A" w14:textId="77777777" w:rsidTr="002255F4">
        <w:trPr>
          <w:trHeight w:val="300"/>
        </w:trPr>
        <w:tc>
          <w:tcPr>
            <w:tcW w:w="5920" w:type="dxa"/>
          </w:tcPr>
          <w:p w14:paraId="51AA6C1F" w14:textId="77777777" w:rsidR="002255F4" w:rsidRPr="00F56CC0" w:rsidRDefault="002255F4" w:rsidP="00BE0A23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nástroje pro prohlížení, zadávání a opravu docházkových dat a jejich následné uzavření a schválení v daném měsíci.</w:t>
            </w:r>
          </w:p>
        </w:tc>
        <w:tc>
          <w:tcPr>
            <w:tcW w:w="1276" w:type="dxa"/>
            <w:noWrap/>
          </w:tcPr>
          <w:p w14:paraId="1202D04F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10FE2185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24B6C0AB" w14:textId="77777777" w:rsidTr="002255F4">
        <w:trPr>
          <w:trHeight w:val="300"/>
        </w:trPr>
        <w:tc>
          <w:tcPr>
            <w:tcW w:w="5920" w:type="dxa"/>
          </w:tcPr>
          <w:p w14:paraId="6631DC7D" w14:textId="77777777" w:rsidR="002255F4" w:rsidRDefault="002255F4" w:rsidP="00BE0A23">
            <w:pPr>
              <w:pStyle w:val="Bezmezer"/>
              <w:rPr>
                <w:rFonts w:cs="Arial"/>
              </w:rPr>
            </w:pPr>
            <w:r>
              <w:t>nástroje pro</w:t>
            </w:r>
            <w:r w:rsidRPr="009D3B86">
              <w:t xml:space="preserve"> editac</w:t>
            </w:r>
            <w:r>
              <w:t>i</w:t>
            </w:r>
            <w:r w:rsidRPr="009D3B86">
              <w:t xml:space="preserve"> údajů v uzavřeném měsíci/vyrovnávacím období (ve výjimečných případech)</w:t>
            </w:r>
            <w:r>
              <w:t>.</w:t>
            </w:r>
          </w:p>
        </w:tc>
        <w:tc>
          <w:tcPr>
            <w:tcW w:w="1276" w:type="dxa"/>
            <w:noWrap/>
          </w:tcPr>
          <w:p w14:paraId="21E49A5B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5A0248FC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27414947" w14:textId="77777777" w:rsidTr="002255F4">
        <w:trPr>
          <w:trHeight w:val="300"/>
        </w:trPr>
        <w:tc>
          <w:tcPr>
            <w:tcW w:w="5920" w:type="dxa"/>
          </w:tcPr>
          <w:p w14:paraId="120A20CA" w14:textId="77777777" w:rsidR="002255F4" w:rsidRPr="00F56CC0" w:rsidRDefault="002255F4" w:rsidP="00BE0A23">
            <w:pPr>
              <w:pStyle w:val="Bezmezer"/>
            </w:pPr>
            <w:r>
              <w:t>a</w:t>
            </w:r>
            <w:r w:rsidRPr="008C4093">
              <w:t>utomatické označování dnů státních svátků a dnů volna ve webové aplikaci.</w:t>
            </w:r>
          </w:p>
        </w:tc>
        <w:tc>
          <w:tcPr>
            <w:tcW w:w="1276" w:type="dxa"/>
            <w:noWrap/>
          </w:tcPr>
          <w:p w14:paraId="29988F7F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5CC5B1C2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5916E26C" w14:textId="77777777" w:rsidTr="002255F4">
        <w:trPr>
          <w:trHeight w:val="300"/>
        </w:trPr>
        <w:tc>
          <w:tcPr>
            <w:tcW w:w="5920" w:type="dxa"/>
          </w:tcPr>
          <w:p w14:paraId="0EA4EE8E" w14:textId="77777777" w:rsidR="002255F4" w:rsidRPr="00F56CC0" w:rsidRDefault="002255F4" w:rsidP="00BE0A23">
            <w:pPr>
              <w:pStyle w:val="Bezmezer"/>
            </w:pPr>
            <w:r>
              <w:t>a</w:t>
            </w:r>
            <w:r w:rsidRPr="009D3B86">
              <w:t>utomatické vyhodnocování docházky pro potřeby vzniku nároku na příspěvek na stravování.</w:t>
            </w:r>
          </w:p>
        </w:tc>
        <w:tc>
          <w:tcPr>
            <w:tcW w:w="1276" w:type="dxa"/>
            <w:noWrap/>
          </w:tcPr>
          <w:p w14:paraId="6860752E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577C5D5F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27E05B4E" w14:textId="77777777" w:rsidTr="002255F4">
        <w:trPr>
          <w:trHeight w:val="300"/>
        </w:trPr>
        <w:tc>
          <w:tcPr>
            <w:tcW w:w="5920" w:type="dxa"/>
          </w:tcPr>
          <w:p w14:paraId="5DF92C10" w14:textId="77777777" w:rsidR="002255F4" w:rsidRPr="00F56CC0" w:rsidRDefault="002255F4" w:rsidP="00BE0A23">
            <w:pPr>
              <w:pStyle w:val="Bezmezer"/>
            </w:pPr>
            <w:r>
              <w:t>n</w:t>
            </w:r>
            <w:r w:rsidRPr="00F56CC0">
              <w:t>ástroje pro přehledný grafický náhled na přítomné a nepřítomné osoby na pracovišti s volbou přímého kontaktu, popř. zobrazení geografických souřadnic v mapě při zadání docházkového přerušení.</w:t>
            </w:r>
          </w:p>
        </w:tc>
        <w:tc>
          <w:tcPr>
            <w:tcW w:w="1276" w:type="dxa"/>
            <w:noWrap/>
          </w:tcPr>
          <w:p w14:paraId="3B1C520E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4884C0AC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350BF9D0" w14:textId="77777777" w:rsidTr="002255F4">
        <w:trPr>
          <w:trHeight w:val="300"/>
        </w:trPr>
        <w:tc>
          <w:tcPr>
            <w:tcW w:w="5920" w:type="dxa"/>
          </w:tcPr>
          <w:p w14:paraId="651B8A7D" w14:textId="77777777" w:rsidR="002255F4" w:rsidRPr="00F56CC0" w:rsidRDefault="002255F4" w:rsidP="00BE0A23">
            <w:pPr>
              <w:pStyle w:val="Bezmezer"/>
            </w:pPr>
            <w:r>
              <w:t>n</w:t>
            </w:r>
            <w:r w:rsidRPr="00F56CC0">
              <w:t>ástroje pro žádosti a schvalování nepřítomností, přesčasů a případně následné uznání příplatků čí pohotovostí:</w:t>
            </w:r>
          </w:p>
        </w:tc>
        <w:tc>
          <w:tcPr>
            <w:tcW w:w="1276" w:type="dxa"/>
            <w:noWrap/>
          </w:tcPr>
          <w:p w14:paraId="6C9CBE5D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543FF7A3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72060A9F" w14:textId="77777777" w:rsidTr="002255F4">
        <w:trPr>
          <w:trHeight w:val="300"/>
        </w:trPr>
        <w:tc>
          <w:tcPr>
            <w:tcW w:w="5920" w:type="dxa"/>
          </w:tcPr>
          <w:p w14:paraId="277B72FC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 w:rsidRPr="004D68F2">
              <w:rPr>
                <w:rFonts w:cs="Arial"/>
              </w:rPr>
              <w:t>p</w:t>
            </w:r>
            <w:r w:rsidRPr="00F56CC0">
              <w:rPr>
                <w:rFonts w:cs="Arial"/>
              </w:rPr>
              <w:t>lánování nepřítomností (dovolená, neplacené volno, náhradní volno, plánovaná nemoc apod.)</w:t>
            </w:r>
          </w:p>
          <w:p w14:paraId="45F6FFE5" w14:textId="77777777" w:rsidR="002255F4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nástroje</w:t>
            </w:r>
            <w:r w:rsidRPr="004D68F2">
              <w:rPr>
                <w:rFonts w:cs="Arial"/>
              </w:rPr>
              <w:t xml:space="preserve"> elektronické žádanky o zvolenou nepřítomnost a schvalová</w:t>
            </w:r>
            <w:r>
              <w:rPr>
                <w:rFonts w:cs="Arial"/>
              </w:rPr>
              <w:t>ní plánu vedoucími zaměstnanci elektronickou cestou</w:t>
            </w:r>
          </w:p>
          <w:p w14:paraId="2FC3BF92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D68F2">
              <w:rPr>
                <w:rFonts w:cs="Arial"/>
              </w:rPr>
              <w:t xml:space="preserve">říslušný nadřízený je o požadavku informován e-mailovou zprávou s odkazem na zpracování žádosti. Po schválení dovolené nadřízeným (beze změny/se změnou) je dovolená automaticky zařazena do evidence docházky zaměstnance. Informace o schválení, úpravě nebo zamítnutí dovolené obdrží příslušní zaměstnanci e-mailovou zprávou. </w:t>
            </w:r>
            <w:r>
              <w:rPr>
                <w:rFonts w:cs="Arial"/>
              </w:rPr>
              <w:t xml:space="preserve">Podpora </w:t>
            </w:r>
            <w:r w:rsidRPr="004D68F2">
              <w:rPr>
                <w:rFonts w:cs="Arial"/>
              </w:rPr>
              <w:t>nastavení přenosu schválené dovolené i do kalendáře v MS Outlook</w:t>
            </w:r>
          </w:p>
        </w:tc>
        <w:tc>
          <w:tcPr>
            <w:tcW w:w="1276" w:type="dxa"/>
            <w:noWrap/>
          </w:tcPr>
          <w:p w14:paraId="0399138B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228F6442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4352E18E" w14:textId="77777777" w:rsidTr="002255F4">
        <w:trPr>
          <w:trHeight w:val="300"/>
        </w:trPr>
        <w:tc>
          <w:tcPr>
            <w:tcW w:w="5920" w:type="dxa"/>
          </w:tcPr>
          <w:p w14:paraId="6CD25D03" w14:textId="77777777" w:rsidR="002255F4" w:rsidRDefault="002255F4" w:rsidP="00BE0A23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mobilní klient:</w:t>
            </w:r>
          </w:p>
        </w:tc>
        <w:tc>
          <w:tcPr>
            <w:tcW w:w="1276" w:type="dxa"/>
            <w:noWrap/>
          </w:tcPr>
          <w:p w14:paraId="5D47219E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0CE18909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5F46E790" w14:textId="77777777" w:rsidTr="002255F4">
        <w:trPr>
          <w:trHeight w:val="300"/>
        </w:trPr>
        <w:tc>
          <w:tcPr>
            <w:tcW w:w="5920" w:type="dxa"/>
          </w:tcPr>
          <w:p w14:paraId="5DA3E2C5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podpora</w:t>
            </w:r>
            <w:r w:rsidRPr="005368AE">
              <w:rPr>
                <w:rFonts w:cs="Arial"/>
              </w:rPr>
              <w:t xml:space="preserve"> pro smartphone (iPhone/iOS, Android, Window</w:t>
            </w:r>
            <w:r>
              <w:rPr>
                <w:rFonts w:cs="Arial"/>
              </w:rPr>
              <w:t>s)</w:t>
            </w:r>
          </w:p>
        </w:tc>
        <w:tc>
          <w:tcPr>
            <w:tcW w:w="1276" w:type="dxa"/>
            <w:noWrap/>
          </w:tcPr>
          <w:p w14:paraId="733F85C4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66FBA71D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4DB31441" w14:textId="77777777" w:rsidTr="002255F4">
        <w:trPr>
          <w:trHeight w:val="300"/>
        </w:trPr>
        <w:tc>
          <w:tcPr>
            <w:tcW w:w="5920" w:type="dxa"/>
          </w:tcPr>
          <w:p w14:paraId="3E2E6BF5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nástroje pořízení vlastních </w:t>
            </w:r>
            <w:r w:rsidRPr="005368AE">
              <w:rPr>
                <w:rFonts w:cs="Arial"/>
              </w:rPr>
              <w:t>docházkových záznamů a kontrolu do</w:t>
            </w:r>
            <w:r>
              <w:rPr>
                <w:rFonts w:cs="Arial"/>
              </w:rPr>
              <w:t>cházky podřízených</w:t>
            </w:r>
          </w:p>
        </w:tc>
        <w:tc>
          <w:tcPr>
            <w:tcW w:w="1276" w:type="dxa"/>
            <w:noWrap/>
          </w:tcPr>
          <w:p w14:paraId="15F07E62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462D2A0D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2C1F124E" w14:textId="77777777" w:rsidTr="002255F4">
        <w:trPr>
          <w:trHeight w:val="300"/>
        </w:trPr>
        <w:tc>
          <w:tcPr>
            <w:tcW w:w="5920" w:type="dxa"/>
          </w:tcPr>
          <w:p w14:paraId="6A1CF227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nástroje schvalování</w:t>
            </w:r>
            <w:r w:rsidRPr="005368AE">
              <w:rPr>
                <w:rFonts w:cs="Arial"/>
              </w:rPr>
              <w:t xml:space="preserve"> žádosti o</w:t>
            </w:r>
            <w:r>
              <w:rPr>
                <w:rFonts w:cs="Arial"/>
              </w:rPr>
              <w:t xml:space="preserve"> dovolenou a jiné nepřítomnosti</w:t>
            </w:r>
          </w:p>
        </w:tc>
        <w:tc>
          <w:tcPr>
            <w:tcW w:w="1276" w:type="dxa"/>
            <w:noWrap/>
          </w:tcPr>
          <w:p w14:paraId="7382BBA0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7964D3D2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1EE0F5D4" w14:textId="77777777" w:rsidTr="002255F4">
        <w:trPr>
          <w:trHeight w:val="300"/>
        </w:trPr>
        <w:tc>
          <w:tcPr>
            <w:tcW w:w="5920" w:type="dxa"/>
          </w:tcPr>
          <w:p w14:paraId="3F0E0D48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podpora</w:t>
            </w:r>
            <w:r w:rsidRPr="005368AE">
              <w:rPr>
                <w:rFonts w:cs="Arial"/>
              </w:rPr>
              <w:t xml:space="preserve"> uložení GPS polohy zaměstn</w:t>
            </w:r>
            <w:r>
              <w:rPr>
                <w:rFonts w:cs="Arial"/>
              </w:rPr>
              <w:t>ance v okamžiku zadání docházky</w:t>
            </w:r>
          </w:p>
        </w:tc>
        <w:tc>
          <w:tcPr>
            <w:tcW w:w="1276" w:type="dxa"/>
            <w:noWrap/>
          </w:tcPr>
          <w:p w14:paraId="19205FEC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0A0C8F45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302F932C" w14:textId="77777777" w:rsidTr="002255F4">
        <w:trPr>
          <w:trHeight w:val="300"/>
        </w:trPr>
        <w:tc>
          <w:tcPr>
            <w:tcW w:w="5920" w:type="dxa"/>
          </w:tcPr>
          <w:p w14:paraId="37437C7D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nástroje uzavření a schválení docházky</w:t>
            </w:r>
          </w:p>
        </w:tc>
        <w:tc>
          <w:tcPr>
            <w:tcW w:w="1276" w:type="dxa"/>
            <w:noWrap/>
          </w:tcPr>
          <w:p w14:paraId="330BA346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6083826E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5C6A0BBD" w14:textId="77777777" w:rsidTr="002255F4">
        <w:trPr>
          <w:trHeight w:val="300"/>
        </w:trPr>
        <w:tc>
          <w:tcPr>
            <w:tcW w:w="5920" w:type="dxa"/>
          </w:tcPr>
          <w:p w14:paraId="2C2DD754" w14:textId="77777777" w:rsidR="002255F4" w:rsidRPr="00F56CC0" w:rsidRDefault="002255F4" w:rsidP="00BE0A23">
            <w:pPr>
              <w:pStyle w:val="Bezmezer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údaje o ne/přítomných zaměstnancích včetně možnosti je kontaktovat (email, telefon) z prostředí aplikace</w:t>
            </w:r>
          </w:p>
        </w:tc>
        <w:tc>
          <w:tcPr>
            <w:tcW w:w="1276" w:type="dxa"/>
            <w:noWrap/>
          </w:tcPr>
          <w:p w14:paraId="75AA6AE8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25D44BBB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7D86487D" w14:textId="77777777" w:rsidTr="002255F4">
        <w:trPr>
          <w:trHeight w:val="300"/>
        </w:trPr>
        <w:tc>
          <w:tcPr>
            <w:tcW w:w="5920" w:type="dxa"/>
          </w:tcPr>
          <w:p w14:paraId="6B514473" w14:textId="77777777" w:rsidR="002255F4" w:rsidRDefault="002255F4" w:rsidP="00BE0A23">
            <w:pPr>
              <w:pStyle w:val="Bezmezer"/>
              <w:rPr>
                <w:rFonts w:cs="Arial"/>
              </w:rPr>
            </w:pPr>
            <w:r>
              <w:t>požadavky na předpřipravené sestavy:</w:t>
            </w:r>
          </w:p>
        </w:tc>
        <w:tc>
          <w:tcPr>
            <w:tcW w:w="1276" w:type="dxa"/>
            <w:noWrap/>
          </w:tcPr>
          <w:p w14:paraId="27BBD41C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6BC4F20A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54AE7B80" w14:textId="77777777" w:rsidTr="002255F4">
        <w:trPr>
          <w:trHeight w:val="300"/>
        </w:trPr>
        <w:tc>
          <w:tcPr>
            <w:tcW w:w="5920" w:type="dxa"/>
          </w:tcPr>
          <w:p w14:paraId="2397E21E" w14:textId="77777777" w:rsidR="002255F4" w:rsidRPr="00F70E95" w:rsidRDefault="002255F4" w:rsidP="007D34FC">
            <w:pPr>
              <w:pStyle w:val="Bezmezer"/>
              <w:numPr>
                <w:ilvl w:val="0"/>
                <w:numId w:val="21"/>
              </w:numPr>
            </w:pPr>
            <w:r>
              <w:t>docházkový list, nároky na stravné, přehled docházky (lékař, nemocenské dávky, pracovní cesty, …), popř. vyjmenujte další předpřipravené sestavy.</w:t>
            </w:r>
          </w:p>
        </w:tc>
        <w:tc>
          <w:tcPr>
            <w:tcW w:w="1276" w:type="dxa"/>
            <w:noWrap/>
          </w:tcPr>
          <w:p w14:paraId="14CA525F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30C6C634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7C1D9C9F" w14:textId="77777777" w:rsidTr="002255F4">
        <w:trPr>
          <w:trHeight w:val="1692"/>
        </w:trPr>
        <w:tc>
          <w:tcPr>
            <w:tcW w:w="5920" w:type="dxa"/>
          </w:tcPr>
          <w:p w14:paraId="44C4C9B2" w14:textId="259C6B38" w:rsidR="002255F4" w:rsidRDefault="002255F4" w:rsidP="005B7C47">
            <w:pPr>
              <w:pStyle w:val="Bezmezer"/>
              <w:rPr>
                <w:rFonts w:ascii="Helvetica" w:hAnsi="Helvetica" w:cs="Helvetica"/>
              </w:rPr>
            </w:pPr>
            <w:r w:rsidRPr="005B7C47">
              <w:lastRenderedPageBreak/>
              <w:t xml:space="preserve">Docházkový terminál – </w:t>
            </w:r>
            <w:r w:rsidR="008068E1">
              <w:t>3</w:t>
            </w:r>
            <w:r w:rsidRPr="005B7C47">
              <w:t xml:space="preserve"> kusy,</w:t>
            </w:r>
            <w:r>
              <w:t xml:space="preserve"> </w:t>
            </w:r>
            <w:r w:rsidRPr="005B7C47">
              <w:t>10“ dotykový displej napájení přes PoE, rozlišení min. 1280x 800</w:t>
            </w:r>
            <w:r>
              <w:t xml:space="preserve"> </w:t>
            </w:r>
            <w:r w:rsidRPr="005B7C47">
              <w:t>16,7 mil barev,</w:t>
            </w:r>
            <w:r>
              <w:t xml:space="preserve"> </w:t>
            </w:r>
            <w:r>
              <w:rPr>
                <w:rFonts w:ascii="Helvetica" w:hAnsi="Helvetica" w:cs="Helvetica"/>
              </w:rPr>
              <w:t xml:space="preserve">uchycení VESA, podpora karet </w:t>
            </w:r>
            <w:r w:rsidR="0046524D">
              <w:rPr>
                <w:rFonts w:ascii="Helvetica" w:hAnsi="Helvetica" w:cs="Helvetica"/>
              </w:rPr>
              <w:t>EM</w:t>
            </w:r>
            <w:r>
              <w:rPr>
                <w:rFonts w:ascii="Helvetica" w:hAnsi="Helvetica" w:cs="Helvetica"/>
              </w:rPr>
              <w:t>,</w:t>
            </w:r>
          </w:p>
          <w:p w14:paraId="4C7A9698" w14:textId="77777777" w:rsidR="002255F4" w:rsidRDefault="002255F4" w:rsidP="005B7C47">
            <w:pPr>
              <w:pStyle w:val="Bezmez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vzdálená správa terminálu: instalace operačního systému a OS update, ovladačů apod., vzdálená konfigurace docházkových přerušení,</w:t>
            </w:r>
          </w:p>
          <w:p w14:paraId="15F01266" w14:textId="77777777" w:rsidR="002255F4" w:rsidRPr="005B7C47" w:rsidRDefault="002255F4" w:rsidP="005B7C47">
            <w:pPr>
              <w:pStyle w:val="Bezmezer"/>
              <w:rPr>
                <w:bCs/>
                <w:i/>
                <w:iCs/>
              </w:rPr>
            </w:pPr>
            <w:r>
              <w:rPr>
                <w:rFonts w:ascii="Helvetica" w:hAnsi="Helvetica" w:cs="Helvetica"/>
              </w:rPr>
              <w:t>uživatelská úprava prostředí – změna barevného schématu, možnost vložit logo/znak provozovatele</w:t>
            </w:r>
          </w:p>
        </w:tc>
        <w:tc>
          <w:tcPr>
            <w:tcW w:w="1276" w:type="dxa"/>
            <w:noWrap/>
          </w:tcPr>
          <w:p w14:paraId="35FE89FA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01001B22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77BAE5CA" w14:textId="77777777" w:rsidTr="002255F4">
        <w:trPr>
          <w:trHeight w:val="701"/>
        </w:trPr>
        <w:tc>
          <w:tcPr>
            <w:tcW w:w="5920" w:type="dxa"/>
          </w:tcPr>
          <w:p w14:paraId="170E8596" w14:textId="0414848F" w:rsidR="002255F4" w:rsidRPr="005B7C47" w:rsidRDefault="002255F4" w:rsidP="005B7C47">
            <w:pPr>
              <w:pStyle w:val="Bezmezer"/>
            </w:pPr>
            <w:r>
              <w:t xml:space="preserve">administrátorská čtečka pro správu bezkontaktních čipových karet – </w:t>
            </w:r>
            <w:r w:rsidR="0046524D">
              <w:t>EM</w:t>
            </w:r>
            <w:r>
              <w:t>, USB rozhraní – 1 kus</w:t>
            </w:r>
          </w:p>
        </w:tc>
        <w:tc>
          <w:tcPr>
            <w:tcW w:w="1276" w:type="dxa"/>
            <w:noWrap/>
          </w:tcPr>
          <w:p w14:paraId="23279A3E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415512B1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4A3126B0" w14:textId="77777777" w:rsidTr="002255F4">
        <w:trPr>
          <w:trHeight w:val="300"/>
        </w:trPr>
        <w:tc>
          <w:tcPr>
            <w:tcW w:w="5920" w:type="dxa"/>
          </w:tcPr>
          <w:p w14:paraId="580E8040" w14:textId="77777777" w:rsidR="002255F4" w:rsidRDefault="002255F4" w:rsidP="00A02071">
            <w:pPr>
              <w:pStyle w:val="Bezmezer"/>
            </w:pPr>
            <w:r w:rsidRPr="00062B82">
              <w:rPr>
                <w:b/>
                <w:bCs/>
                <w:i/>
                <w:iCs/>
              </w:rPr>
              <w:t xml:space="preserve">Věcné požadavky </w:t>
            </w:r>
            <w:r w:rsidRPr="00A02071">
              <w:rPr>
                <w:b/>
                <w:bCs/>
                <w:i/>
                <w:iCs/>
              </w:rPr>
              <w:t>vzhledem k GDPR:</w:t>
            </w:r>
          </w:p>
        </w:tc>
        <w:tc>
          <w:tcPr>
            <w:tcW w:w="1276" w:type="dxa"/>
            <w:noWrap/>
          </w:tcPr>
          <w:p w14:paraId="3F5AF97B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2021C28C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2D9E54CB" w14:textId="77777777" w:rsidTr="002255F4">
        <w:trPr>
          <w:trHeight w:val="300"/>
        </w:trPr>
        <w:tc>
          <w:tcPr>
            <w:tcW w:w="5920" w:type="dxa"/>
          </w:tcPr>
          <w:p w14:paraId="5AA5FFC2" w14:textId="77777777" w:rsidR="002255F4" w:rsidRPr="00AF39F5" w:rsidRDefault="002255F4" w:rsidP="00AF39F5">
            <w:pPr>
              <w:pStyle w:val="Odstavecseseznamem"/>
              <w:numPr>
                <w:ilvl w:val="0"/>
                <w:numId w:val="21"/>
              </w:numPr>
            </w:pPr>
            <w:r>
              <w:t>Aplikovaný a certifikovaný s</w:t>
            </w:r>
            <w:r w:rsidRPr="00420B6A">
              <w:t>ystém řízení bezpečnosti informací ISO 27001</w:t>
            </w:r>
            <w:r>
              <w:t xml:space="preserve"> v rámci součinnosti zadavatele s dodavatelem během doby zprovoznění systému </w:t>
            </w:r>
          </w:p>
        </w:tc>
        <w:tc>
          <w:tcPr>
            <w:tcW w:w="1276" w:type="dxa"/>
            <w:noWrap/>
          </w:tcPr>
          <w:p w14:paraId="2D519CCE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2EF950D2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68E7F2F5" w14:textId="77777777" w:rsidTr="002255F4">
        <w:trPr>
          <w:trHeight w:val="300"/>
        </w:trPr>
        <w:tc>
          <w:tcPr>
            <w:tcW w:w="5920" w:type="dxa"/>
          </w:tcPr>
          <w:p w14:paraId="2E27B4AE" w14:textId="77777777" w:rsidR="002255F4" w:rsidRDefault="002255F4" w:rsidP="00420B6A">
            <w:pPr>
              <w:pStyle w:val="Bezmezer"/>
              <w:numPr>
                <w:ilvl w:val="0"/>
                <w:numId w:val="21"/>
              </w:numPr>
            </w:pPr>
            <w:r>
              <w:t>podpora šifrování databáze TDE podporované v MS SQL Server</w:t>
            </w:r>
          </w:p>
        </w:tc>
        <w:tc>
          <w:tcPr>
            <w:tcW w:w="1276" w:type="dxa"/>
            <w:noWrap/>
          </w:tcPr>
          <w:p w14:paraId="444B553F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19122A28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6D538B2A" w14:textId="77777777" w:rsidTr="002255F4">
        <w:trPr>
          <w:trHeight w:val="300"/>
        </w:trPr>
        <w:tc>
          <w:tcPr>
            <w:tcW w:w="5920" w:type="dxa"/>
          </w:tcPr>
          <w:p w14:paraId="25608436" w14:textId="77777777" w:rsidR="002255F4" w:rsidRDefault="002255F4" w:rsidP="00420B6A">
            <w:pPr>
              <w:pStyle w:val="Bezmezer"/>
              <w:numPr>
                <w:ilvl w:val="0"/>
                <w:numId w:val="21"/>
              </w:numPr>
            </w:pPr>
            <w:r>
              <w:t xml:space="preserve">podpora anonymizace </w:t>
            </w:r>
            <w:r w:rsidRPr="00AF39F5">
              <w:t xml:space="preserve">dle </w:t>
            </w:r>
            <w:r>
              <w:t xml:space="preserve">uživatelem </w:t>
            </w:r>
            <w:r w:rsidRPr="00AF39F5">
              <w:t>definovaného algoritmu při migraci do testovacího prostředí</w:t>
            </w:r>
          </w:p>
        </w:tc>
        <w:tc>
          <w:tcPr>
            <w:tcW w:w="1276" w:type="dxa"/>
            <w:noWrap/>
          </w:tcPr>
          <w:p w14:paraId="02BCD1FB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20D02CCD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3E34F0A7" w14:textId="77777777" w:rsidTr="002255F4">
        <w:trPr>
          <w:trHeight w:val="300"/>
        </w:trPr>
        <w:tc>
          <w:tcPr>
            <w:tcW w:w="5920" w:type="dxa"/>
          </w:tcPr>
          <w:p w14:paraId="390EC12B" w14:textId="77777777" w:rsidR="002255F4" w:rsidRDefault="002255F4" w:rsidP="00420B6A">
            <w:pPr>
              <w:pStyle w:val="Bezmezer"/>
              <w:numPr>
                <w:ilvl w:val="0"/>
                <w:numId w:val="21"/>
              </w:numPr>
            </w:pPr>
            <w:r>
              <w:t>definice auditního logu včetně logování práva čtení osobních údajů zaměstnanců</w:t>
            </w:r>
          </w:p>
        </w:tc>
        <w:tc>
          <w:tcPr>
            <w:tcW w:w="1276" w:type="dxa"/>
            <w:noWrap/>
          </w:tcPr>
          <w:p w14:paraId="061572A7" w14:textId="77777777" w:rsidR="002255F4" w:rsidRDefault="002255F4" w:rsidP="00BE0A23">
            <w:pPr>
              <w:pStyle w:val="Bezmezer"/>
            </w:pPr>
          </w:p>
        </w:tc>
        <w:tc>
          <w:tcPr>
            <w:tcW w:w="1329" w:type="dxa"/>
            <w:noWrap/>
          </w:tcPr>
          <w:p w14:paraId="7FDC36F2" w14:textId="77777777" w:rsidR="002255F4" w:rsidRPr="009D3B86" w:rsidRDefault="002255F4" w:rsidP="00BE0A23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5C6A80FA" w14:textId="77777777" w:rsidTr="002255F4">
        <w:trPr>
          <w:trHeight w:val="300"/>
        </w:trPr>
        <w:tc>
          <w:tcPr>
            <w:tcW w:w="5920" w:type="dxa"/>
          </w:tcPr>
          <w:p w14:paraId="1001118F" w14:textId="77777777" w:rsidR="002255F4" w:rsidRDefault="002255F4" w:rsidP="00973934">
            <w:pPr>
              <w:pStyle w:val="Bezmezer"/>
              <w:numPr>
                <w:ilvl w:val="0"/>
                <w:numId w:val="21"/>
              </w:numPr>
            </w:pPr>
            <w:r>
              <w:t>nástroj pro export všech osobních údajů subjektu vedených v systému dle GDPR do strojově čitelného formátu (CVS, XLSX) – uživatelsky přívětivé spuštění na konkrétního zaměstnance</w:t>
            </w:r>
          </w:p>
        </w:tc>
        <w:tc>
          <w:tcPr>
            <w:tcW w:w="1276" w:type="dxa"/>
            <w:noWrap/>
          </w:tcPr>
          <w:p w14:paraId="140B5B17" w14:textId="77777777" w:rsidR="002255F4" w:rsidRDefault="002255F4" w:rsidP="00973934">
            <w:pPr>
              <w:pStyle w:val="Bezmezer"/>
            </w:pPr>
          </w:p>
        </w:tc>
        <w:tc>
          <w:tcPr>
            <w:tcW w:w="1329" w:type="dxa"/>
            <w:noWrap/>
          </w:tcPr>
          <w:p w14:paraId="12B2476B" w14:textId="77777777" w:rsidR="002255F4" w:rsidRPr="009D3B86" w:rsidRDefault="002255F4" w:rsidP="00973934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51CFAC62" w14:textId="77777777" w:rsidTr="002255F4">
        <w:trPr>
          <w:trHeight w:val="300"/>
        </w:trPr>
        <w:tc>
          <w:tcPr>
            <w:tcW w:w="5920" w:type="dxa"/>
          </w:tcPr>
          <w:p w14:paraId="7CE2DDFE" w14:textId="77777777" w:rsidR="002255F4" w:rsidRDefault="002255F4" w:rsidP="0014296D">
            <w:pPr>
              <w:pStyle w:val="Bezmezer"/>
              <w:numPr>
                <w:ilvl w:val="0"/>
                <w:numId w:val="21"/>
              </w:numPr>
            </w:pPr>
            <w:r>
              <w:t>nástroje pro anonymizaci a mazání informací:</w:t>
            </w:r>
          </w:p>
          <w:p w14:paraId="266B5E0C" w14:textId="77777777" w:rsidR="002255F4" w:rsidRDefault="002255F4" w:rsidP="0014296D">
            <w:pPr>
              <w:pStyle w:val="Bezmezer"/>
              <w:numPr>
                <w:ilvl w:val="0"/>
                <w:numId w:val="21"/>
              </w:numPr>
              <w:ind w:left="709"/>
            </w:pPr>
            <w:r>
              <w:t>možnost zvolit personální oblast pro výmaz</w:t>
            </w:r>
          </w:p>
          <w:p w14:paraId="0003C71C" w14:textId="77777777" w:rsidR="002255F4" w:rsidRDefault="002255F4" w:rsidP="0014296D">
            <w:pPr>
              <w:pStyle w:val="Bezmezer"/>
              <w:numPr>
                <w:ilvl w:val="0"/>
                <w:numId w:val="21"/>
              </w:numPr>
              <w:ind w:left="709"/>
            </w:pPr>
            <w:r>
              <w:t>možnost určit časovou dobu pro údaje určené pro výmaz</w:t>
            </w:r>
          </w:p>
          <w:p w14:paraId="2BFA1AFF" w14:textId="77777777" w:rsidR="002255F4" w:rsidRPr="0014296D" w:rsidRDefault="002255F4" w:rsidP="0014296D">
            <w:pPr>
              <w:pStyle w:val="Bezmezer"/>
              <w:numPr>
                <w:ilvl w:val="0"/>
                <w:numId w:val="21"/>
              </w:numPr>
              <w:ind w:left="709"/>
            </w:pPr>
            <w:r w:rsidRPr="0014296D">
              <w:t>možnost z výběru zaměstnanců</w:t>
            </w:r>
          </w:p>
        </w:tc>
        <w:tc>
          <w:tcPr>
            <w:tcW w:w="1276" w:type="dxa"/>
            <w:noWrap/>
          </w:tcPr>
          <w:p w14:paraId="34EA675B" w14:textId="77777777" w:rsidR="002255F4" w:rsidRDefault="002255F4" w:rsidP="00973934">
            <w:pPr>
              <w:pStyle w:val="Bezmezer"/>
            </w:pPr>
          </w:p>
        </w:tc>
        <w:tc>
          <w:tcPr>
            <w:tcW w:w="1329" w:type="dxa"/>
            <w:noWrap/>
          </w:tcPr>
          <w:p w14:paraId="1F8BD0A2" w14:textId="77777777" w:rsidR="002255F4" w:rsidRPr="009D3B86" w:rsidRDefault="002255F4" w:rsidP="00973934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3B9D9B81" w14:textId="77777777" w:rsidTr="002255F4">
        <w:trPr>
          <w:trHeight w:val="300"/>
        </w:trPr>
        <w:tc>
          <w:tcPr>
            <w:tcW w:w="5920" w:type="dxa"/>
          </w:tcPr>
          <w:p w14:paraId="2714FF69" w14:textId="77777777" w:rsidR="002255F4" w:rsidRDefault="002255F4" w:rsidP="00973934">
            <w:pPr>
              <w:pStyle w:val="Bezmezer"/>
              <w:numPr>
                <w:ilvl w:val="0"/>
                <w:numId w:val="21"/>
              </w:numPr>
            </w:pPr>
            <w:r>
              <w:t>aplikační nástroje pro kategorizaci osobních údajů uložených v databázi systému (např. osobní údaj, osobní údaj vyžadující souhlas, zvláštní osobní údaj, zvláštní osobní údaj vyžadující souhlas)</w:t>
            </w:r>
          </w:p>
        </w:tc>
        <w:tc>
          <w:tcPr>
            <w:tcW w:w="1276" w:type="dxa"/>
            <w:noWrap/>
          </w:tcPr>
          <w:p w14:paraId="6B972C2B" w14:textId="77777777" w:rsidR="002255F4" w:rsidRDefault="002255F4" w:rsidP="00973934">
            <w:pPr>
              <w:pStyle w:val="Bezmezer"/>
            </w:pPr>
          </w:p>
        </w:tc>
        <w:tc>
          <w:tcPr>
            <w:tcW w:w="1329" w:type="dxa"/>
            <w:noWrap/>
          </w:tcPr>
          <w:p w14:paraId="21866356" w14:textId="77777777" w:rsidR="002255F4" w:rsidRPr="009D3B86" w:rsidRDefault="002255F4" w:rsidP="00973934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4694D5D0" w14:textId="77777777" w:rsidTr="002255F4">
        <w:trPr>
          <w:trHeight w:val="300"/>
        </w:trPr>
        <w:tc>
          <w:tcPr>
            <w:tcW w:w="5920" w:type="dxa"/>
          </w:tcPr>
          <w:p w14:paraId="286385B9" w14:textId="77777777" w:rsidR="002255F4" w:rsidRDefault="002255F4" w:rsidP="00973934">
            <w:pPr>
              <w:pStyle w:val="Bezmezer"/>
              <w:numPr>
                <w:ilvl w:val="0"/>
                <w:numId w:val="21"/>
              </w:numPr>
            </w:pPr>
            <w:r>
              <w:t>definice auditního logu včetně logování práva čtení osobních údajů zaměstnanců</w:t>
            </w:r>
          </w:p>
        </w:tc>
        <w:tc>
          <w:tcPr>
            <w:tcW w:w="1276" w:type="dxa"/>
            <w:noWrap/>
          </w:tcPr>
          <w:p w14:paraId="0D0DC63A" w14:textId="77777777" w:rsidR="002255F4" w:rsidRDefault="002255F4" w:rsidP="00973934">
            <w:pPr>
              <w:pStyle w:val="Bezmezer"/>
            </w:pPr>
          </w:p>
        </w:tc>
        <w:tc>
          <w:tcPr>
            <w:tcW w:w="1329" w:type="dxa"/>
            <w:noWrap/>
          </w:tcPr>
          <w:p w14:paraId="647A6580" w14:textId="77777777" w:rsidR="002255F4" w:rsidRPr="009D3B86" w:rsidRDefault="002255F4" w:rsidP="00973934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6B714FF1" w14:textId="77777777" w:rsidTr="002255F4">
        <w:trPr>
          <w:trHeight w:val="300"/>
        </w:trPr>
        <w:tc>
          <w:tcPr>
            <w:tcW w:w="5920" w:type="dxa"/>
          </w:tcPr>
          <w:p w14:paraId="56DB5F22" w14:textId="77777777" w:rsidR="002255F4" w:rsidRPr="00062B82" w:rsidRDefault="002255F4" w:rsidP="0097393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Nástroje webového portálu zaměstnance</w:t>
            </w:r>
          </w:p>
        </w:tc>
        <w:tc>
          <w:tcPr>
            <w:tcW w:w="1276" w:type="dxa"/>
            <w:noWrap/>
          </w:tcPr>
          <w:p w14:paraId="38DD7BA3" w14:textId="77777777" w:rsidR="002255F4" w:rsidRPr="00062B82" w:rsidRDefault="002255F4" w:rsidP="00973934">
            <w:pPr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1329" w:type="dxa"/>
            <w:noWrap/>
          </w:tcPr>
          <w:p w14:paraId="23DCDF5A" w14:textId="77777777" w:rsidR="002255F4" w:rsidRPr="00062B82" w:rsidRDefault="002255F4" w:rsidP="00973934">
            <w:pPr>
              <w:rPr>
                <w:b/>
                <w:bCs/>
                <w:i/>
                <w:iCs/>
                <w:sz w:val="18"/>
              </w:rPr>
            </w:pPr>
          </w:p>
        </w:tc>
      </w:tr>
      <w:tr w:rsidR="002255F4" w:rsidRPr="009D3B86" w14:paraId="4CA88AF7" w14:textId="77777777" w:rsidTr="002255F4">
        <w:trPr>
          <w:trHeight w:val="300"/>
        </w:trPr>
        <w:tc>
          <w:tcPr>
            <w:tcW w:w="5920" w:type="dxa"/>
          </w:tcPr>
          <w:p w14:paraId="7514BEFE" w14:textId="77777777" w:rsidR="002255F4" w:rsidRDefault="002255F4" w:rsidP="0016700D">
            <w:pPr>
              <w:pStyle w:val="Bezmezer"/>
              <w:numPr>
                <w:ilvl w:val="0"/>
                <w:numId w:val="21"/>
              </w:numPr>
            </w:pPr>
            <w:r>
              <w:t>webový portál uživatelsky přívětivý – požadovány pouze podporované webové technologie (JavaScript, HTML 5, ...)</w:t>
            </w:r>
          </w:p>
        </w:tc>
        <w:tc>
          <w:tcPr>
            <w:tcW w:w="1276" w:type="dxa"/>
            <w:noWrap/>
          </w:tcPr>
          <w:p w14:paraId="37F00C96" w14:textId="77777777" w:rsidR="002255F4" w:rsidRDefault="002255F4" w:rsidP="00973934">
            <w:pPr>
              <w:pStyle w:val="Bezmezer"/>
            </w:pPr>
          </w:p>
        </w:tc>
        <w:tc>
          <w:tcPr>
            <w:tcW w:w="1329" w:type="dxa"/>
            <w:noWrap/>
          </w:tcPr>
          <w:p w14:paraId="0F1FA924" w14:textId="77777777" w:rsidR="002255F4" w:rsidRPr="009D3B86" w:rsidRDefault="002255F4" w:rsidP="00973934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6B9D88C0" w14:textId="77777777" w:rsidTr="002255F4">
        <w:trPr>
          <w:trHeight w:val="300"/>
        </w:trPr>
        <w:tc>
          <w:tcPr>
            <w:tcW w:w="5920" w:type="dxa"/>
          </w:tcPr>
          <w:p w14:paraId="78E80B1B" w14:textId="77777777" w:rsidR="002255F4" w:rsidRDefault="002255F4" w:rsidP="0016700D">
            <w:pPr>
              <w:pStyle w:val="Bezmezer"/>
              <w:numPr>
                <w:ilvl w:val="0"/>
                <w:numId w:val="21"/>
              </w:numPr>
            </w:pPr>
            <w:r>
              <w:t>evidence docházky a možnost editace evidence docházky</w:t>
            </w:r>
          </w:p>
        </w:tc>
        <w:tc>
          <w:tcPr>
            <w:tcW w:w="1276" w:type="dxa"/>
            <w:noWrap/>
          </w:tcPr>
          <w:p w14:paraId="78FF01CB" w14:textId="77777777" w:rsidR="002255F4" w:rsidRDefault="002255F4" w:rsidP="00973934">
            <w:pPr>
              <w:pStyle w:val="Bezmezer"/>
            </w:pPr>
          </w:p>
        </w:tc>
        <w:tc>
          <w:tcPr>
            <w:tcW w:w="1329" w:type="dxa"/>
            <w:noWrap/>
          </w:tcPr>
          <w:p w14:paraId="69F4B3AB" w14:textId="77777777" w:rsidR="002255F4" w:rsidRPr="009D3B86" w:rsidRDefault="002255F4" w:rsidP="00973934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190712DB" w14:textId="77777777" w:rsidTr="002255F4">
        <w:trPr>
          <w:trHeight w:val="300"/>
        </w:trPr>
        <w:tc>
          <w:tcPr>
            <w:tcW w:w="5920" w:type="dxa"/>
          </w:tcPr>
          <w:p w14:paraId="15942198" w14:textId="77777777" w:rsidR="002255F4" w:rsidRDefault="002255F4" w:rsidP="00973934">
            <w:pPr>
              <w:pStyle w:val="Bezmezer"/>
              <w:numPr>
                <w:ilvl w:val="0"/>
                <w:numId w:val="21"/>
              </w:numPr>
            </w:pPr>
            <w:r>
              <w:t>podání elektronické žádosti:</w:t>
            </w:r>
          </w:p>
          <w:p w14:paraId="6ED970CC" w14:textId="77777777" w:rsidR="002255F4" w:rsidRDefault="002255F4" w:rsidP="009277B6">
            <w:pPr>
              <w:pStyle w:val="Bezmezer"/>
              <w:numPr>
                <w:ilvl w:val="0"/>
                <w:numId w:val="21"/>
              </w:numPr>
              <w:ind w:left="709"/>
            </w:pPr>
            <w:r>
              <w:t>vybrané typy nepřítomností (dovolené), zobrazení nároku na dovolenou v žádosti,</w:t>
            </w:r>
          </w:p>
          <w:p w14:paraId="26C9453C" w14:textId="77777777" w:rsidR="002255F4" w:rsidRPr="00554C55" w:rsidRDefault="002255F4" w:rsidP="009277B6">
            <w:pPr>
              <w:pStyle w:val="Bezmezer"/>
              <w:numPr>
                <w:ilvl w:val="0"/>
                <w:numId w:val="21"/>
              </w:numPr>
              <w:ind w:left="709"/>
            </w:pPr>
            <w:r>
              <w:t>grafické zobrazení požadovaných, plánovaných, schválených nebo oznámených pracovních nepřítomností (dovolená, školení, dlouhodobá nemoc apod.)</w:t>
            </w:r>
          </w:p>
        </w:tc>
        <w:tc>
          <w:tcPr>
            <w:tcW w:w="1276" w:type="dxa"/>
            <w:noWrap/>
          </w:tcPr>
          <w:p w14:paraId="1271E3D8" w14:textId="77777777" w:rsidR="002255F4" w:rsidRDefault="002255F4" w:rsidP="00973934">
            <w:pPr>
              <w:pStyle w:val="Bezmezer"/>
            </w:pPr>
          </w:p>
        </w:tc>
        <w:tc>
          <w:tcPr>
            <w:tcW w:w="1329" w:type="dxa"/>
            <w:noWrap/>
          </w:tcPr>
          <w:p w14:paraId="363E8F2A" w14:textId="77777777" w:rsidR="002255F4" w:rsidRPr="009D3B86" w:rsidRDefault="002255F4" w:rsidP="00973934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01762648" w14:textId="77777777" w:rsidTr="002255F4">
        <w:trPr>
          <w:trHeight w:val="1727"/>
        </w:trPr>
        <w:tc>
          <w:tcPr>
            <w:tcW w:w="5920" w:type="dxa"/>
          </w:tcPr>
          <w:p w14:paraId="3F6B11CF" w14:textId="77777777" w:rsidR="002255F4" w:rsidRDefault="002255F4" w:rsidP="00973934">
            <w:pPr>
              <w:pStyle w:val="Bezmezer"/>
              <w:numPr>
                <w:ilvl w:val="0"/>
                <w:numId w:val="21"/>
              </w:numPr>
            </w:pPr>
            <w:r>
              <w:lastRenderedPageBreak/>
              <w:t>podání elektronické žádosti o schválení služební cesty (tuzemské, zahraniční), včetně zpracování průběhu služební cesty a definice krácení cestovních náhrad, možnost žádosti o vyplacení záloh, schvalovací proces žádosti o služební cestu včetně schvalovacího procesu zprávy ze služební cesty a zaslání na účtárnu</w:t>
            </w:r>
          </w:p>
        </w:tc>
        <w:tc>
          <w:tcPr>
            <w:tcW w:w="1276" w:type="dxa"/>
            <w:noWrap/>
          </w:tcPr>
          <w:p w14:paraId="0996F929" w14:textId="77777777" w:rsidR="002255F4" w:rsidRDefault="002255F4" w:rsidP="00973934">
            <w:pPr>
              <w:pStyle w:val="Bezmezer"/>
            </w:pPr>
          </w:p>
        </w:tc>
        <w:tc>
          <w:tcPr>
            <w:tcW w:w="1329" w:type="dxa"/>
            <w:noWrap/>
          </w:tcPr>
          <w:p w14:paraId="7FE14DE4" w14:textId="77777777" w:rsidR="002255F4" w:rsidRPr="009D3B86" w:rsidRDefault="002255F4" w:rsidP="00973934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2255F4" w:rsidRPr="009D3B86" w14:paraId="6B25BAA6" w14:textId="77777777" w:rsidTr="002255F4">
        <w:trPr>
          <w:trHeight w:val="300"/>
        </w:trPr>
        <w:tc>
          <w:tcPr>
            <w:tcW w:w="5920" w:type="dxa"/>
          </w:tcPr>
          <w:p w14:paraId="2CA754C6" w14:textId="77777777" w:rsidR="002255F4" w:rsidRDefault="002255F4" w:rsidP="00973934">
            <w:pPr>
              <w:pStyle w:val="Bezmezer"/>
              <w:numPr>
                <w:ilvl w:val="0"/>
                <w:numId w:val="21"/>
              </w:numPr>
            </w:pPr>
            <w:r>
              <w:t>zobrazení a spuštění sestav a reportů z webového klienta pro vedoucí zaměstnance včetně definice parametrů spuštění online reportu</w:t>
            </w:r>
          </w:p>
        </w:tc>
        <w:tc>
          <w:tcPr>
            <w:tcW w:w="1276" w:type="dxa"/>
            <w:noWrap/>
          </w:tcPr>
          <w:p w14:paraId="2A6C07C0" w14:textId="77777777" w:rsidR="002255F4" w:rsidRDefault="002255F4" w:rsidP="00973934">
            <w:pPr>
              <w:pStyle w:val="Bezmezer"/>
            </w:pPr>
          </w:p>
        </w:tc>
        <w:tc>
          <w:tcPr>
            <w:tcW w:w="1329" w:type="dxa"/>
            <w:noWrap/>
          </w:tcPr>
          <w:p w14:paraId="0D720B3C" w14:textId="77777777" w:rsidR="002255F4" w:rsidRPr="009D3B86" w:rsidRDefault="002255F4" w:rsidP="00973934">
            <w:pPr>
              <w:spacing w:after="0"/>
              <w:rPr>
                <w:rFonts w:cs="Calibri"/>
                <w:color w:val="000000"/>
              </w:rPr>
            </w:pPr>
          </w:p>
        </w:tc>
      </w:tr>
    </w:tbl>
    <w:p w14:paraId="21765D31" w14:textId="77777777" w:rsidR="00F70E95" w:rsidRPr="00B61EB0" w:rsidRDefault="00F70E95" w:rsidP="00F70E95"/>
    <w:sectPr w:rsidR="00F70E95" w:rsidRPr="00B61EB0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F54B" w14:textId="77777777" w:rsidR="00C200C6" w:rsidRDefault="00C200C6">
      <w:r>
        <w:separator/>
      </w:r>
    </w:p>
    <w:p w14:paraId="4DC340C5" w14:textId="77777777" w:rsidR="00C200C6" w:rsidRDefault="00C200C6"/>
    <w:p w14:paraId="5698AF97" w14:textId="77777777" w:rsidR="00C200C6" w:rsidRDefault="00C200C6" w:rsidP="004E2F3D"/>
    <w:p w14:paraId="3A950E85" w14:textId="77777777" w:rsidR="00C200C6" w:rsidRDefault="00C200C6" w:rsidP="004E2F3D"/>
    <w:p w14:paraId="035AD5EB" w14:textId="77777777" w:rsidR="00C200C6" w:rsidRDefault="00C200C6"/>
    <w:p w14:paraId="4ECD446E" w14:textId="77777777" w:rsidR="00C200C6" w:rsidRDefault="00C200C6"/>
    <w:p w14:paraId="33C7024F" w14:textId="77777777" w:rsidR="00C200C6" w:rsidRDefault="00C200C6"/>
    <w:p w14:paraId="74B05C13" w14:textId="77777777" w:rsidR="00C200C6" w:rsidRDefault="00C200C6"/>
  </w:endnote>
  <w:endnote w:type="continuationSeparator" w:id="0">
    <w:p w14:paraId="3EE04067" w14:textId="77777777" w:rsidR="00C200C6" w:rsidRDefault="00C200C6">
      <w:r>
        <w:continuationSeparator/>
      </w:r>
    </w:p>
    <w:p w14:paraId="3C138908" w14:textId="77777777" w:rsidR="00C200C6" w:rsidRDefault="00C200C6"/>
    <w:p w14:paraId="547CDB09" w14:textId="77777777" w:rsidR="00C200C6" w:rsidRDefault="00C200C6" w:rsidP="004E2F3D"/>
    <w:p w14:paraId="54EBCE05" w14:textId="77777777" w:rsidR="00C200C6" w:rsidRDefault="00C200C6" w:rsidP="004E2F3D"/>
    <w:p w14:paraId="754B8947" w14:textId="77777777" w:rsidR="00C200C6" w:rsidRDefault="00C200C6"/>
    <w:p w14:paraId="6DDE6579" w14:textId="77777777" w:rsidR="00C200C6" w:rsidRDefault="00C200C6"/>
    <w:p w14:paraId="07E7B664" w14:textId="77777777" w:rsidR="00C200C6" w:rsidRDefault="00C200C6"/>
    <w:p w14:paraId="5F4CCF4D" w14:textId="77777777" w:rsidR="00C200C6" w:rsidRDefault="00C200C6"/>
  </w:endnote>
  <w:endnote w:type="continuationNotice" w:id="1">
    <w:p w14:paraId="0D457F6F" w14:textId="77777777" w:rsidR="00C200C6" w:rsidRDefault="00C200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73EA" w14:textId="77777777" w:rsidR="00E25306" w:rsidRPr="00932627" w:rsidRDefault="00E25306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53BB" w14:textId="77777777" w:rsidR="00E25306" w:rsidRPr="00932627" w:rsidRDefault="00E25306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EC6A" w14:textId="77777777" w:rsidR="00C200C6" w:rsidRDefault="00C200C6">
      <w:r>
        <w:separator/>
      </w:r>
    </w:p>
    <w:p w14:paraId="51797AE5" w14:textId="77777777" w:rsidR="00C200C6" w:rsidRDefault="00C200C6"/>
    <w:p w14:paraId="3C6C8712" w14:textId="77777777" w:rsidR="00C200C6" w:rsidRDefault="00C200C6" w:rsidP="004E2F3D"/>
    <w:p w14:paraId="2A869C40" w14:textId="77777777" w:rsidR="00C200C6" w:rsidRDefault="00C200C6" w:rsidP="004E2F3D"/>
    <w:p w14:paraId="09250D82" w14:textId="77777777" w:rsidR="00C200C6" w:rsidRDefault="00C200C6"/>
    <w:p w14:paraId="6D83E7ED" w14:textId="77777777" w:rsidR="00C200C6" w:rsidRDefault="00C200C6"/>
    <w:p w14:paraId="786555AC" w14:textId="77777777" w:rsidR="00C200C6" w:rsidRDefault="00C200C6"/>
    <w:p w14:paraId="62949AF2" w14:textId="77777777" w:rsidR="00C200C6" w:rsidRDefault="00C200C6"/>
  </w:footnote>
  <w:footnote w:type="continuationSeparator" w:id="0">
    <w:p w14:paraId="4DE9B485" w14:textId="77777777" w:rsidR="00C200C6" w:rsidRDefault="00C200C6">
      <w:r>
        <w:continuationSeparator/>
      </w:r>
    </w:p>
    <w:p w14:paraId="19BF2976" w14:textId="77777777" w:rsidR="00C200C6" w:rsidRDefault="00C200C6"/>
    <w:p w14:paraId="55A650DC" w14:textId="77777777" w:rsidR="00C200C6" w:rsidRDefault="00C200C6" w:rsidP="004E2F3D"/>
    <w:p w14:paraId="6878DC37" w14:textId="77777777" w:rsidR="00C200C6" w:rsidRDefault="00C200C6" w:rsidP="004E2F3D"/>
    <w:p w14:paraId="7FA51114" w14:textId="77777777" w:rsidR="00C200C6" w:rsidRDefault="00C200C6"/>
    <w:p w14:paraId="7A8D2A11" w14:textId="77777777" w:rsidR="00C200C6" w:rsidRDefault="00C200C6"/>
    <w:p w14:paraId="1493CD7B" w14:textId="77777777" w:rsidR="00C200C6" w:rsidRDefault="00C200C6"/>
    <w:p w14:paraId="053EB28A" w14:textId="77777777" w:rsidR="00C200C6" w:rsidRDefault="00C200C6"/>
  </w:footnote>
  <w:footnote w:type="continuationNotice" w:id="1">
    <w:p w14:paraId="22F1B2F4" w14:textId="77777777" w:rsidR="00C200C6" w:rsidRDefault="00C200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7CA9" w14:textId="77777777" w:rsidR="00E25306" w:rsidRPr="00B61EB0" w:rsidRDefault="00E25306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75pt" o:bullet="t">
        <v:imagedata r:id="rId1" o:title="artB6C7"/>
      </v:shape>
    </w:pict>
  </w:numPicBullet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E0217E5"/>
    <w:multiLevelType w:val="multilevel"/>
    <w:tmpl w:val="158E4B38"/>
    <w:lvl w:ilvl="0">
      <w:start w:val="1"/>
      <w:numFmt w:val="decimal"/>
      <w:pStyle w:val="lnek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Odsazen"/>
      <w:lvlText w:val="3.%2"/>
      <w:lvlJc w:val="left"/>
      <w:pPr>
        <w:tabs>
          <w:tab w:val="num" w:pos="578"/>
        </w:tabs>
        <w:ind w:left="578" w:hanging="57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D3D64A9"/>
    <w:multiLevelType w:val="hybridMultilevel"/>
    <w:tmpl w:val="047ECAA8"/>
    <w:lvl w:ilvl="0" w:tplc="43406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CD3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AA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04E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E8A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B89D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0A34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6DD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46E3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6166EE"/>
    <w:multiLevelType w:val="hybridMultilevel"/>
    <w:tmpl w:val="9B5A38DE"/>
    <w:lvl w:ilvl="0" w:tplc="E06AEB4E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A148C"/>
    <w:multiLevelType w:val="hybridMultilevel"/>
    <w:tmpl w:val="F82A1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3D20DD2"/>
    <w:multiLevelType w:val="hybridMultilevel"/>
    <w:tmpl w:val="74B6D322"/>
    <w:lvl w:ilvl="0" w:tplc="98B2678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FF50BE4"/>
    <w:multiLevelType w:val="hybridMultilevel"/>
    <w:tmpl w:val="C1161E12"/>
    <w:lvl w:ilvl="0" w:tplc="C7C44D3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F696771A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BB4258F"/>
    <w:multiLevelType w:val="multilevel"/>
    <w:tmpl w:val="62BC48B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E767FC5"/>
    <w:multiLevelType w:val="hybridMultilevel"/>
    <w:tmpl w:val="F7ECB520"/>
    <w:lvl w:ilvl="0" w:tplc="04050017">
      <w:start w:val="1"/>
      <w:numFmt w:val="bullet"/>
      <w:pStyle w:val="OdrazkaIctverec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C6594E"/>
    <w:multiLevelType w:val="hybridMultilevel"/>
    <w:tmpl w:val="7BFE58CE"/>
    <w:lvl w:ilvl="0" w:tplc="7316A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4BD1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62A26"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06A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E84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AC1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92DF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02C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4B8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878B2"/>
    <w:multiLevelType w:val="hybridMultilevel"/>
    <w:tmpl w:val="E31EA6CA"/>
    <w:lvl w:ilvl="0" w:tplc="E4F2C4E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55917324">
    <w:abstractNumId w:val="5"/>
  </w:num>
  <w:num w:numId="2" w16cid:durableId="977608516">
    <w:abstractNumId w:val="13"/>
  </w:num>
  <w:num w:numId="3" w16cid:durableId="856306296">
    <w:abstractNumId w:val="15"/>
  </w:num>
  <w:num w:numId="4" w16cid:durableId="1805463571">
    <w:abstractNumId w:val="10"/>
  </w:num>
  <w:num w:numId="5" w16cid:durableId="1713921575">
    <w:abstractNumId w:val="10"/>
  </w:num>
  <w:num w:numId="6" w16cid:durableId="1090934579">
    <w:abstractNumId w:val="10"/>
  </w:num>
  <w:num w:numId="7" w16cid:durableId="761026772">
    <w:abstractNumId w:val="10"/>
  </w:num>
  <w:num w:numId="8" w16cid:durableId="860701760">
    <w:abstractNumId w:val="10"/>
  </w:num>
  <w:num w:numId="9" w16cid:durableId="1307972519">
    <w:abstractNumId w:val="10"/>
  </w:num>
  <w:num w:numId="10" w16cid:durableId="237516195">
    <w:abstractNumId w:val="10"/>
  </w:num>
  <w:num w:numId="11" w16cid:durableId="1709379134">
    <w:abstractNumId w:val="10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5073709">
    <w:abstractNumId w:val="10"/>
  </w:num>
  <w:num w:numId="13" w16cid:durableId="978342117">
    <w:abstractNumId w:val="16"/>
  </w:num>
  <w:num w:numId="14" w16cid:durableId="1785731314">
    <w:abstractNumId w:val="7"/>
  </w:num>
  <w:num w:numId="15" w16cid:durableId="1792437209">
    <w:abstractNumId w:val="9"/>
  </w:num>
  <w:num w:numId="16" w16cid:durableId="408504893">
    <w:abstractNumId w:val="0"/>
  </w:num>
  <w:num w:numId="17" w16cid:durableId="1926912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6690410">
    <w:abstractNumId w:val="11"/>
  </w:num>
  <w:num w:numId="19" w16cid:durableId="590696971">
    <w:abstractNumId w:val="1"/>
  </w:num>
  <w:num w:numId="20" w16cid:durableId="506137923">
    <w:abstractNumId w:val="3"/>
  </w:num>
  <w:num w:numId="21" w16cid:durableId="2036147472">
    <w:abstractNumId w:val="8"/>
  </w:num>
  <w:num w:numId="22" w16cid:durableId="1649557459">
    <w:abstractNumId w:val="4"/>
  </w:num>
  <w:num w:numId="23" w16cid:durableId="1963226567">
    <w:abstractNumId w:val="6"/>
  </w:num>
  <w:num w:numId="24" w16cid:durableId="947929497">
    <w:abstractNumId w:val="14"/>
  </w:num>
  <w:num w:numId="25" w16cid:durableId="1837452628">
    <w:abstractNumId w:val="12"/>
  </w:num>
  <w:num w:numId="26" w16cid:durableId="110619124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FF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23DBE"/>
    <w:rsid w:val="000313A5"/>
    <w:rsid w:val="00031D00"/>
    <w:rsid w:val="00031F0E"/>
    <w:rsid w:val="000343B7"/>
    <w:rsid w:val="000376C7"/>
    <w:rsid w:val="00044BBD"/>
    <w:rsid w:val="000465C1"/>
    <w:rsid w:val="00046C51"/>
    <w:rsid w:val="000471AA"/>
    <w:rsid w:val="00047D10"/>
    <w:rsid w:val="0005622C"/>
    <w:rsid w:val="00057226"/>
    <w:rsid w:val="000574CC"/>
    <w:rsid w:val="0005750B"/>
    <w:rsid w:val="00057691"/>
    <w:rsid w:val="0005789A"/>
    <w:rsid w:val="00062B82"/>
    <w:rsid w:val="000631E6"/>
    <w:rsid w:val="0006461B"/>
    <w:rsid w:val="00065A5D"/>
    <w:rsid w:val="000675F4"/>
    <w:rsid w:val="00070596"/>
    <w:rsid w:val="00072263"/>
    <w:rsid w:val="000739FA"/>
    <w:rsid w:val="00080523"/>
    <w:rsid w:val="000842FE"/>
    <w:rsid w:val="00095D33"/>
    <w:rsid w:val="000969AC"/>
    <w:rsid w:val="000A12E9"/>
    <w:rsid w:val="000A3B25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4636"/>
    <w:rsid w:val="000C6E91"/>
    <w:rsid w:val="000D0407"/>
    <w:rsid w:val="000D35EA"/>
    <w:rsid w:val="000D4F4E"/>
    <w:rsid w:val="000D6057"/>
    <w:rsid w:val="000E0A7E"/>
    <w:rsid w:val="000E2ECF"/>
    <w:rsid w:val="000E4565"/>
    <w:rsid w:val="000E6845"/>
    <w:rsid w:val="000F4E44"/>
    <w:rsid w:val="000F550F"/>
    <w:rsid w:val="000F562A"/>
    <w:rsid w:val="000F6239"/>
    <w:rsid w:val="000F6975"/>
    <w:rsid w:val="000F6EC5"/>
    <w:rsid w:val="001014E3"/>
    <w:rsid w:val="00111891"/>
    <w:rsid w:val="00114DCB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296D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6700D"/>
    <w:rsid w:val="00171B99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4675"/>
    <w:rsid w:val="00195032"/>
    <w:rsid w:val="001974D7"/>
    <w:rsid w:val="001A05FE"/>
    <w:rsid w:val="001A0D17"/>
    <w:rsid w:val="001A4386"/>
    <w:rsid w:val="001B0808"/>
    <w:rsid w:val="001B6C3B"/>
    <w:rsid w:val="001B799F"/>
    <w:rsid w:val="001B7A3B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4448"/>
    <w:rsid w:val="001E6205"/>
    <w:rsid w:val="001F0281"/>
    <w:rsid w:val="001F19A3"/>
    <w:rsid w:val="001F47FF"/>
    <w:rsid w:val="001F4A94"/>
    <w:rsid w:val="001F5E78"/>
    <w:rsid w:val="001F66E2"/>
    <w:rsid w:val="00201738"/>
    <w:rsid w:val="00202196"/>
    <w:rsid w:val="002041C2"/>
    <w:rsid w:val="00204396"/>
    <w:rsid w:val="002079AC"/>
    <w:rsid w:val="00211422"/>
    <w:rsid w:val="0021464B"/>
    <w:rsid w:val="002224DA"/>
    <w:rsid w:val="002236C4"/>
    <w:rsid w:val="00224463"/>
    <w:rsid w:val="002255F4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3EE"/>
    <w:rsid w:val="002C57C4"/>
    <w:rsid w:val="002C58B3"/>
    <w:rsid w:val="002C6835"/>
    <w:rsid w:val="002D0F95"/>
    <w:rsid w:val="002D1E08"/>
    <w:rsid w:val="002D27A2"/>
    <w:rsid w:val="002D6E32"/>
    <w:rsid w:val="002D754C"/>
    <w:rsid w:val="002E1113"/>
    <w:rsid w:val="002E177C"/>
    <w:rsid w:val="002E5818"/>
    <w:rsid w:val="002E5A63"/>
    <w:rsid w:val="002E5C51"/>
    <w:rsid w:val="002F5C85"/>
    <w:rsid w:val="002F65C3"/>
    <w:rsid w:val="002F7799"/>
    <w:rsid w:val="002F7FDE"/>
    <w:rsid w:val="00303753"/>
    <w:rsid w:val="00306DCF"/>
    <w:rsid w:val="0031004D"/>
    <w:rsid w:val="0031566A"/>
    <w:rsid w:val="00316BB4"/>
    <w:rsid w:val="00316D3B"/>
    <w:rsid w:val="00321A2F"/>
    <w:rsid w:val="00325422"/>
    <w:rsid w:val="00325BD2"/>
    <w:rsid w:val="00327679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51237"/>
    <w:rsid w:val="003600E3"/>
    <w:rsid w:val="00360F0A"/>
    <w:rsid w:val="003625F5"/>
    <w:rsid w:val="00364257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97938"/>
    <w:rsid w:val="003A06ED"/>
    <w:rsid w:val="003A1FDC"/>
    <w:rsid w:val="003A4017"/>
    <w:rsid w:val="003A62E0"/>
    <w:rsid w:val="003A7599"/>
    <w:rsid w:val="003B2340"/>
    <w:rsid w:val="003B2D3A"/>
    <w:rsid w:val="003B3251"/>
    <w:rsid w:val="003B4E6A"/>
    <w:rsid w:val="003B658E"/>
    <w:rsid w:val="003C3E58"/>
    <w:rsid w:val="003C6CAA"/>
    <w:rsid w:val="003C6F58"/>
    <w:rsid w:val="003C707A"/>
    <w:rsid w:val="003D0BD6"/>
    <w:rsid w:val="003D0D8F"/>
    <w:rsid w:val="003D18B4"/>
    <w:rsid w:val="003D2A5D"/>
    <w:rsid w:val="003D317A"/>
    <w:rsid w:val="003D39F3"/>
    <w:rsid w:val="003D41C4"/>
    <w:rsid w:val="003E5415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05CB6"/>
    <w:rsid w:val="00411144"/>
    <w:rsid w:val="00412556"/>
    <w:rsid w:val="00412F33"/>
    <w:rsid w:val="00417069"/>
    <w:rsid w:val="004205F8"/>
    <w:rsid w:val="00420B6A"/>
    <w:rsid w:val="00422FB5"/>
    <w:rsid w:val="00425245"/>
    <w:rsid w:val="004306F1"/>
    <w:rsid w:val="004315C6"/>
    <w:rsid w:val="00431CCB"/>
    <w:rsid w:val="00432526"/>
    <w:rsid w:val="00432F51"/>
    <w:rsid w:val="0043358B"/>
    <w:rsid w:val="00436F6A"/>
    <w:rsid w:val="0043751E"/>
    <w:rsid w:val="004412FE"/>
    <w:rsid w:val="00445D39"/>
    <w:rsid w:val="00447A4D"/>
    <w:rsid w:val="00453993"/>
    <w:rsid w:val="00455197"/>
    <w:rsid w:val="00456804"/>
    <w:rsid w:val="0046524D"/>
    <w:rsid w:val="00472512"/>
    <w:rsid w:val="00476412"/>
    <w:rsid w:val="00481A36"/>
    <w:rsid w:val="00482757"/>
    <w:rsid w:val="004834AA"/>
    <w:rsid w:val="00483E01"/>
    <w:rsid w:val="00485B69"/>
    <w:rsid w:val="004869D3"/>
    <w:rsid w:val="0049025A"/>
    <w:rsid w:val="004911CB"/>
    <w:rsid w:val="00497088"/>
    <w:rsid w:val="004A06FD"/>
    <w:rsid w:val="004A1440"/>
    <w:rsid w:val="004A1918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584E"/>
    <w:rsid w:val="004B748D"/>
    <w:rsid w:val="004C104D"/>
    <w:rsid w:val="004C143D"/>
    <w:rsid w:val="004C1AFE"/>
    <w:rsid w:val="004C6819"/>
    <w:rsid w:val="004D1575"/>
    <w:rsid w:val="004D636E"/>
    <w:rsid w:val="004D7FB8"/>
    <w:rsid w:val="004E15D6"/>
    <w:rsid w:val="004E26BF"/>
    <w:rsid w:val="004E2F3D"/>
    <w:rsid w:val="004E65F4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2745"/>
    <w:rsid w:val="005533C4"/>
    <w:rsid w:val="00554390"/>
    <w:rsid w:val="00554C55"/>
    <w:rsid w:val="00564B4E"/>
    <w:rsid w:val="005666FF"/>
    <w:rsid w:val="00574ACD"/>
    <w:rsid w:val="00574D45"/>
    <w:rsid w:val="005754EF"/>
    <w:rsid w:val="00575F13"/>
    <w:rsid w:val="00577F00"/>
    <w:rsid w:val="005803F5"/>
    <w:rsid w:val="00583430"/>
    <w:rsid w:val="005864A1"/>
    <w:rsid w:val="00593CA1"/>
    <w:rsid w:val="005951ED"/>
    <w:rsid w:val="0059574E"/>
    <w:rsid w:val="005A0B09"/>
    <w:rsid w:val="005A4FD0"/>
    <w:rsid w:val="005B0A95"/>
    <w:rsid w:val="005B0D89"/>
    <w:rsid w:val="005B75A8"/>
    <w:rsid w:val="005B7C47"/>
    <w:rsid w:val="005C308C"/>
    <w:rsid w:val="005C3825"/>
    <w:rsid w:val="005C56E4"/>
    <w:rsid w:val="005D0547"/>
    <w:rsid w:val="005D21F2"/>
    <w:rsid w:val="005D2C56"/>
    <w:rsid w:val="005D522B"/>
    <w:rsid w:val="005D5AC0"/>
    <w:rsid w:val="005E0048"/>
    <w:rsid w:val="005F62D0"/>
    <w:rsid w:val="005F673A"/>
    <w:rsid w:val="006011D5"/>
    <w:rsid w:val="006076B8"/>
    <w:rsid w:val="00607DBB"/>
    <w:rsid w:val="006113CB"/>
    <w:rsid w:val="00612765"/>
    <w:rsid w:val="0061340A"/>
    <w:rsid w:val="00614F29"/>
    <w:rsid w:val="006157E2"/>
    <w:rsid w:val="00616BBD"/>
    <w:rsid w:val="00623F3C"/>
    <w:rsid w:val="0062779B"/>
    <w:rsid w:val="006312C8"/>
    <w:rsid w:val="00631577"/>
    <w:rsid w:val="00635213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CC2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C26EA"/>
    <w:rsid w:val="006D09E9"/>
    <w:rsid w:val="006D1C0B"/>
    <w:rsid w:val="006D26EA"/>
    <w:rsid w:val="006D5C9F"/>
    <w:rsid w:val="006D61F9"/>
    <w:rsid w:val="006D7B3B"/>
    <w:rsid w:val="006E06FB"/>
    <w:rsid w:val="006E65D2"/>
    <w:rsid w:val="006E7C2F"/>
    <w:rsid w:val="006F16B2"/>
    <w:rsid w:val="006F170A"/>
    <w:rsid w:val="006F2D89"/>
    <w:rsid w:val="006F401A"/>
    <w:rsid w:val="006F4671"/>
    <w:rsid w:val="006F4955"/>
    <w:rsid w:val="00700BD2"/>
    <w:rsid w:val="0070175E"/>
    <w:rsid w:val="00701F71"/>
    <w:rsid w:val="007036D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1BA1"/>
    <w:rsid w:val="007322EB"/>
    <w:rsid w:val="0073291F"/>
    <w:rsid w:val="007359AF"/>
    <w:rsid w:val="007408C9"/>
    <w:rsid w:val="00741A88"/>
    <w:rsid w:val="00742453"/>
    <w:rsid w:val="007427DA"/>
    <w:rsid w:val="0074489A"/>
    <w:rsid w:val="00745933"/>
    <w:rsid w:val="00747445"/>
    <w:rsid w:val="00753578"/>
    <w:rsid w:val="00754751"/>
    <w:rsid w:val="007611AA"/>
    <w:rsid w:val="007630D5"/>
    <w:rsid w:val="00763629"/>
    <w:rsid w:val="00763BCD"/>
    <w:rsid w:val="00766E02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87C4E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0C78"/>
    <w:rsid w:val="007B123F"/>
    <w:rsid w:val="007B2957"/>
    <w:rsid w:val="007B354D"/>
    <w:rsid w:val="007B4822"/>
    <w:rsid w:val="007C295C"/>
    <w:rsid w:val="007C3A84"/>
    <w:rsid w:val="007C453C"/>
    <w:rsid w:val="007D34FC"/>
    <w:rsid w:val="007D497F"/>
    <w:rsid w:val="007E3723"/>
    <w:rsid w:val="007E6774"/>
    <w:rsid w:val="007E70DE"/>
    <w:rsid w:val="007E7FF8"/>
    <w:rsid w:val="007F0527"/>
    <w:rsid w:val="007F3E03"/>
    <w:rsid w:val="007F7430"/>
    <w:rsid w:val="007F7BA8"/>
    <w:rsid w:val="008020CC"/>
    <w:rsid w:val="00804157"/>
    <w:rsid w:val="008057CE"/>
    <w:rsid w:val="008068E1"/>
    <w:rsid w:val="008069E5"/>
    <w:rsid w:val="00806A69"/>
    <w:rsid w:val="008165AC"/>
    <w:rsid w:val="0081725B"/>
    <w:rsid w:val="008226A5"/>
    <w:rsid w:val="00832336"/>
    <w:rsid w:val="00834F8A"/>
    <w:rsid w:val="00835661"/>
    <w:rsid w:val="0083575B"/>
    <w:rsid w:val="0083589D"/>
    <w:rsid w:val="00837B7B"/>
    <w:rsid w:val="008423D3"/>
    <w:rsid w:val="00843D04"/>
    <w:rsid w:val="00843F3F"/>
    <w:rsid w:val="008446F1"/>
    <w:rsid w:val="008470DA"/>
    <w:rsid w:val="00847E70"/>
    <w:rsid w:val="0085267C"/>
    <w:rsid w:val="00853711"/>
    <w:rsid w:val="0085696F"/>
    <w:rsid w:val="00856AC9"/>
    <w:rsid w:val="008571DE"/>
    <w:rsid w:val="00863EE3"/>
    <w:rsid w:val="00864AEC"/>
    <w:rsid w:val="00865805"/>
    <w:rsid w:val="0086580F"/>
    <w:rsid w:val="0086656A"/>
    <w:rsid w:val="00867768"/>
    <w:rsid w:val="0087190A"/>
    <w:rsid w:val="00872FE6"/>
    <w:rsid w:val="008740AB"/>
    <w:rsid w:val="0087778A"/>
    <w:rsid w:val="008832B4"/>
    <w:rsid w:val="00883FEA"/>
    <w:rsid w:val="00884FE1"/>
    <w:rsid w:val="00886CBB"/>
    <w:rsid w:val="00887D33"/>
    <w:rsid w:val="00887FB2"/>
    <w:rsid w:val="008916E5"/>
    <w:rsid w:val="00891E2E"/>
    <w:rsid w:val="00892D8E"/>
    <w:rsid w:val="00893215"/>
    <w:rsid w:val="00894247"/>
    <w:rsid w:val="00894D6A"/>
    <w:rsid w:val="008969E7"/>
    <w:rsid w:val="00897954"/>
    <w:rsid w:val="008A244B"/>
    <w:rsid w:val="008A2B28"/>
    <w:rsid w:val="008A3201"/>
    <w:rsid w:val="008A596D"/>
    <w:rsid w:val="008A7A9F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594"/>
    <w:rsid w:val="008F1AEF"/>
    <w:rsid w:val="008F1FB9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6CA8"/>
    <w:rsid w:val="009270F5"/>
    <w:rsid w:val="0092736A"/>
    <w:rsid w:val="009277B6"/>
    <w:rsid w:val="00932627"/>
    <w:rsid w:val="0093376F"/>
    <w:rsid w:val="00935345"/>
    <w:rsid w:val="00936B3A"/>
    <w:rsid w:val="00940F32"/>
    <w:rsid w:val="00941EA3"/>
    <w:rsid w:val="00942B19"/>
    <w:rsid w:val="00943C68"/>
    <w:rsid w:val="0094525B"/>
    <w:rsid w:val="009453C2"/>
    <w:rsid w:val="00945C22"/>
    <w:rsid w:val="00950A04"/>
    <w:rsid w:val="00952DBA"/>
    <w:rsid w:val="00953591"/>
    <w:rsid w:val="00956CFA"/>
    <w:rsid w:val="0095701C"/>
    <w:rsid w:val="009570A1"/>
    <w:rsid w:val="009624FE"/>
    <w:rsid w:val="00963953"/>
    <w:rsid w:val="0096721A"/>
    <w:rsid w:val="009675E0"/>
    <w:rsid w:val="00972E71"/>
    <w:rsid w:val="00973934"/>
    <w:rsid w:val="00974AFC"/>
    <w:rsid w:val="00975D60"/>
    <w:rsid w:val="00976DB2"/>
    <w:rsid w:val="009812F2"/>
    <w:rsid w:val="009825A2"/>
    <w:rsid w:val="00993AC3"/>
    <w:rsid w:val="009954A7"/>
    <w:rsid w:val="009A6A91"/>
    <w:rsid w:val="009B4460"/>
    <w:rsid w:val="009B56BF"/>
    <w:rsid w:val="009C287B"/>
    <w:rsid w:val="009C2CD4"/>
    <w:rsid w:val="009C2D85"/>
    <w:rsid w:val="009C4279"/>
    <w:rsid w:val="009C70A5"/>
    <w:rsid w:val="009C7BBC"/>
    <w:rsid w:val="009D1D2C"/>
    <w:rsid w:val="009D6B4D"/>
    <w:rsid w:val="009D70B9"/>
    <w:rsid w:val="009E0A36"/>
    <w:rsid w:val="009E18D1"/>
    <w:rsid w:val="009E27B2"/>
    <w:rsid w:val="009F17DE"/>
    <w:rsid w:val="009F207B"/>
    <w:rsid w:val="009F277B"/>
    <w:rsid w:val="009F28DA"/>
    <w:rsid w:val="009F3A0C"/>
    <w:rsid w:val="009F6A96"/>
    <w:rsid w:val="00A02071"/>
    <w:rsid w:val="00A04CAA"/>
    <w:rsid w:val="00A05402"/>
    <w:rsid w:val="00A14D75"/>
    <w:rsid w:val="00A21A88"/>
    <w:rsid w:val="00A21BC1"/>
    <w:rsid w:val="00A233BE"/>
    <w:rsid w:val="00A24037"/>
    <w:rsid w:val="00A24E69"/>
    <w:rsid w:val="00A26764"/>
    <w:rsid w:val="00A26C5A"/>
    <w:rsid w:val="00A279C8"/>
    <w:rsid w:val="00A312C7"/>
    <w:rsid w:val="00A31509"/>
    <w:rsid w:val="00A32BEC"/>
    <w:rsid w:val="00A34794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83FCF"/>
    <w:rsid w:val="00A93B23"/>
    <w:rsid w:val="00A96E10"/>
    <w:rsid w:val="00A96ED2"/>
    <w:rsid w:val="00AA074B"/>
    <w:rsid w:val="00AA1289"/>
    <w:rsid w:val="00AA373C"/>
    <w:rsid w:val="00AA5126"/>
    <w:rsid w:val="00AA61CD"/>
    <w:rsid w:val="00AA7CF0"/>
    <w:rsid w:val="00AB3234"/>
    <w:rsid w:val="00AB38FF"/>
    <w:rsid w:val="00AB3D3E"/>
    <w:rsid w:val="00AB73B2"/>
    <w:rsid w:val="00AC0D83"/>
    <w:rsid w:val="00AC1B57"/>
    <w:rsid w:val="00AC2C06"/>
    <w:rsid w:val="00AC475F"/>
    <w:rsid w:val="00AC4C2F"/>
    <w:rsid w:val="00AC4F66"/>
    <w:rsid w:val="00AC6D69"/>
    <w:rsid w:val="00AC7530"/>
    <w:rsid w:val="00AD1C8D"/>
    <w:rsid w:val="00AD3523"/>
    <w:rsid w:val="00AD7A0F"/>
    <w:rsid w:val="00AE4002"/>
    <w:rsid w:val="00AE4D22"/>
    <w:rsid w:val="00AF0D03"/>
    <w:rsid w:val="00AF0D0D"/>
    <w:rsid w:val="00AF279A"/>
    <w:rsid w:val="00AF39F5"/>
    <w:rsid w:val="00AF607F"/>
    <w:rsid w:val="00AF7932"/>
    <w:rsid w:val="00B002A5"/>
    <w:rsid w:val="00B00E18"/>
    <w:rsid w:val="00B012E0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03AD"/>
    <w:rsid w:val="00B366D8"/>
    <w:rsid w:val="00B407CD"/>
    <w:rsid w:val="00B41728"/>
    <w:rsid w:val="00B41FB4"/>
    <w:rsid w:val="00B44D6E"/>
    <w:rsid w:val="00B47991"/>
    <w:rsid w:val="00B50D43"/>
    <w:rsid w:val="00B5105B"/>
    <w:rsid w:val="00B5142E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387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5B5C"/>
    <w:rsid w:val="00BA6C00"/>
    <w:rsid w:val="00BB31F5"/>
    <w:rsid w:val="00BB35A6"/>
    <w:rsid w:val="00BC1C60"/>
    <w:rsid w:val="00BC256B"/>
    <w:rsid w:val="00BC3CA0"/>
    <w:rsid w:val="00BC4CD8"/>
    <w:rsid w:val="00BC544F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0A23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711"/>
    <w:rsid w:val="00C11B68"/>
    <w:rsid w:val="00C200C6"/>
    <w:rsid w:val="00C20FC4"/>
    <w:rsid w:val="00C2268E"/>
    <w:rsid w:val="00C23DF7"/>
    <w:rsid w:val="00C262D8"/>
    <w:rsid w:val="00C27EE4"/>
    <w:rsid w:val="00C3003E"/>
    <w:rsid w:val="00C366D2"/>
    <w:rsid w:val="00C43C58"/>
    <w:rsid w:val="00C4649F"/>
    <w:rsid w:val="00C51123"/>
    <w:rsid w:val="00C528CB"/>
    <w:rsid w:val="00C5519A"/>
    <w:rsid w:val="00C57B45"/>
    <w:rsid w:val="00C628A8"/>
    <w:rsid w:val="00C64DCD"/>
    <w:rsid w:val="00C658DB"/>
    <w:rsid w:val="00C72CE9"/>
    <w:rsid w:val="00C75D9F"/>
    <w:rsid w:val="00C77928"/>
    <w:rsid w:val="00C82380"/>
    <w:rsid w:val="00C82D26"/>
    <w:rsid w:val="00C86CDD"/>
    <w:rsid w:val="00C87056"/>
    <w:rsid w:val="00C90811"/>
    <w:rsid w:val="00C91406"/>
    <w:rsid w:val="00C91B8F"/>
    <w:rsid w:val="00C9264E"/>
    <w:rsid w:val="00C92878"/>
    <w:rsid w:val="00C933E2"/>
    <w:rsid w:val="00C942E8"/>
    <w:rsid w:val="00C96E20"/>
    <w:rsid w:val="00CA0442"/>
    <w:rsid w:val="00CA61AC"/>
    <w:rsid w:val="00CA7B83"/>
    <w:rsid w:val="00CB3A3A"/>
    <w:rsid w:val="00CB3C6A"/>
    <w:rsid w:val="00CB4580"/>
    <w:rsid w:val="00CB6AEC"/>
    <w:rsid w:val="00CC04D2"/>
    <w:rsid w:val="00CC25D8"/>
    <w:rsid w:val="00CC45B9"/>
    <w:rsid w:val="00CC6E2A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046FD"/>
    <w:rsid w:val="00D108B8"/>
    <w:rsid w:val="00D10C42"/>
    <w:rsid w:val="00D12D3F"/>
    <w:rsid w:val="00D208C1"/>
    <w:rsid w:val="00D26CF5"/>
    <w:rsid w:val="00D27D1B"/>
    <w:rsid w:val="00D3213F"/>
    <w:rsid w:val="00D324F5"/>
    <w:rsid w:val="00D32D2F"/>
    <w:rsid w:val="00D35D41"/>
    <w:rsid w:val="00D40BD7"/>
    <w:rsid w:val="00D41207"/>
    <w:rsid w:val="00D42188"/>
    <w:rsid w:val="00D42AF2"/>
    <w:rsid w:val="00D471FF"/>
    <w:rsid w:val="00D474A5"/>
    <w:rsid w:val="00D5061C"/>
    <w:rsid w:val="00D549C2"/>
    <w:rsid w:val="00D558FE"/>
    <w:rsid w:val="00D62D9B"/>
    <w:rsid w:val="00D64995"/>
    <w:rsid w:val="00D667A6"/>
    <w:rsid w:val="00D717A9"/>
    <w:rsid w:val="00D74E5B"/>
    <w:rsid w:val="00D75670"/>
    <w:rsid w:val="00D8006A"/>
    <w:rsid w:val="00D80748"/>
    <w:rsid w:val="00D8285E"/>
    <w:rsid w:val="00D8375D"/>
    <w:rsid w:val="00D85897"/>
    <w:rsid w:val="00D8627F"/>
    <w:rsid w:val="00D94416"/>
    <w:rsid w:val="00D95154"/>
    <w:rsid w:val="00D95FDA"/>
    <w:rsid w:val="00D96E6C"/>
    <w:rsid w:val="00DA0924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1919"/>
    <w:rsid w:val="00DD3995"/>
    <w:rsid w:val="00DD5402"/>
    <w:rsid w:val="00DD771A"/>
    <w:rsid w:val="00DE0C20"/>
    <w:rsid w:val="00DE344B"/>
    <w:rsid w:val="00DE5995"/>
    <w:rsid w:val="00DF0F76"/>
    <w:rsid w:val="00DF144B"/>
    <w:rsid w:val="00DF3DAB"/>
    <w:rsid w:val="00DF46AE"/>
    <w:rsid w:val="00DF4DB5"/>
    <w:rsid w:val="00DF686D"/>
    <w:rsid w:val="00DF7019"/>
    <w:rsid w:val="00DF7310"/>
    <w:rsid w:val="00E020F7"/>
    <w:rsid w:val="00E0399D"/>
    <w:rsid w:val="00E049CD"/>
    <w:rsid w:val="00E04FFB"/>
    <w:rsid w:val="00E0669E"/>
    <w:rsid w:val="00E12EC3"/>
    <w:rsid w:val="00E14722"/>
    <w:rsid w:val="00E15E44"/>
    <w:rsid w:val="00E15F9D"/>
    <w:rsid w:val="00E24AF4"/>
    <w:rsid w:val="00E25306"/>
    <w:rsid w:val="00E255C9"/>
    <w:rsid w:val="00E26118"/>
    <w:rsid w:val="00E27FE1"/>
    <w:rsid w:val="00E30271"/>
    <w:rsid w:val="00E36C93"/>
    <w:rsid w:val="00E37842"/>
    <w:rsid w:val="00E40369"/>
    <w:rsid w:val="00E436B6"/>
    <w:rsid w:val="00E43AC0"/>
    <w:rsid w:val="00E456C8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73AEF"/>
    <w:rsid w:val="00E82085"/>
    <w:rsid w:val="00E867A8"/>
    <w:rsid w:val="00E87166"/>
    <w:rsid w:val="00E90A14"/>
    <w:rsid w:val="00E90BB6"/>
    <w:rsid w:val="00E94D35"/>
    <w:rsid w:val="00EA21D7"/>
    <w:rsid w:val="00EA4035"/>
    <w:rsid w:val="00EA476E"/>
    <w:rsid w:val="00EA4F01"/>
    <w:rsid w:val="00EA4FAB"/>
    <w:rsid w:val="00EA6219"/>
    <w:rsid w:val="00EA7879"/>
    <w:rsid w:val="00EA78B5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42FA"/>
    <w:rsid w:val="00EE7D3A"/>
    <w:rsid w:val="00F002C8"/>
    <w:rsid w:val="00F011D3"/>
    <w:rsid w:val="00F02C96"/>
    <w:rsid w:val="00F040F9"/>
    <w:rsid w:val="00F07E32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3F3F"/>
    <w:rsid w:val="00F45A33"/>
    <w:rsid w:val="00F501A9"/>
    <w:rsid w:val="00F5242C"/>
    <w:rsid w:val="00F56CC0"/>
    <w:rsid w:val="00F57556"/>
    <w:rsid w:val="00F66040"/>
    <w:rsid w:val="00F671C9"/>
    <w:rsid w:val="00F70E95"/>
    <w:rsid w:val="00F817D9"/>
    <w:rsid w:val="00F81A14"/>
    <w:rsid w:val="00F8232B"/>
    <w:rsid w:val="00F830AB"/>
    <w:rsid w:val="00F85DE7"/>
    <w:rsid w:val="00F902CD"/>
    <w:rsid w:val="00F90F1F"/>
    <w:rsid w:val="00F91020"/>
    <w:rsid w:val="00F94BD7"/>
    <w:rsid w:val="00F96623"/>
    <w:rsid w:val="00F968CA"/>
    <w:rsid w:val="00F96DF2"/>
    <w:rsid w:val="00F96FE4"/>
    <w:rsid w:val="00F97795"/>
    <w:rsid w:val="00FA0603"/>
    <w:rsid w:val="00FA3469"/>
    <w:rsid w:val="00FA470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C5BD2"/>
    <w:rsid w:val="00FC5D38"/>
    <w:rsid w:val="00FC5D4E"/>
    <w:rsid w:val="00FD3085"/>
    <w:rsid w:val="00FD6E19"/>
    <w:rsid w:val="00FE0AD2"/>
    <w:rsid w:val="00FE149D"/>
    <w:rsid w:val="00FE3BA6"/>
    <w:rsid w:val="00FE4445"/>
    <w:rsid w:val="00FE663D"/>
    <w:rsid w:val="00FE6F99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1D385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430"/>
  </w:style>
  <w:style w:type="paragraph" w:styleId="Nadpis1">
    <w:name w:val="heading 1"/>
    <w:aliases w:val="Chapter,H1,1,section,ASAPHeading 1,Celého textu,V_Head1,Záhlaví 1,h1,Nadpis I,TRM 12 B,TRM 16 B,1.,Kapitola1,Kapitola2,Kapitola3,Kapitola4,Kapitola5,Kapitola11,Kapitola21,Kapitola31,Kapitola41,Kapitola6,Kapitola12,Kapitola22,Kapitola32,F8"/>
    <w:basedOn w:val="Normln"/>
    <w:next w:val="Normln"/>
    <w:link w:val="Nadpis1Char"/>
    <w:uiPriority w:val="9"/>
    <w:qFormat/>
    <w:rsid w:val="0058343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aliases w:val="h2,H2,Attribute Heading 2,2m,hlavicka,F2,F21,PA Major Section,2,sub-sect,21,sub-sect1,22,sub-sect2,211,sub-sect11,ASAPHeading 2,Podkapitola1,Běžného textu,V_Head2,V_Head21,V_Head22,Odstavec č.,Paragraph,Podkapitola11,headingsml,TRM 12 BI,l2,A"/>
    <w:basedOn w:val="Normln"/>
    <w:next w:val="Normln"/>
    <w:link w:val="Nadpis2Char"/>
    <w:uiPriority w:val="9"/>
    <w:unhideWhenUsed/>
    <w:qFormat/>
    <w:rsid w:val="0058343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aliases w:val="H3,Nadpis_3_úroveň,Záhlaví 3,V_Head3,V_Head31,V_Head32,Podkapitola2,ASAPHeading 3,Sub Paragraph,Podkapitola21,TRM 12 3,TRM 12 I,AR 12 B,1.1.1,Podkapitola 2,Podkapitola 21,Podkapitola 22,Podkapitola 23,Podkapitola 24,Podkapitola 25,h3"/>
    <w:basedOn w:val="Normln"/>
    <w:next w:val="Normln"/>
    <w:link w:val="Nadpis3Char"/>
    <w:uiPriority w:val="9"/>
    <w:unhideWhenUsed/>
    <w:qFormat/>
    <w:rsid w:val="0058343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8343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8343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8343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8343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8343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8343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rsid w:val="00DF46AE"/>
    <w:pPr>
      <w:spacing w:before="240" w:after="120"/>
    </w:pPr>
    <w:rPr>
      <w:rFonts w:ascii="Arial" w:hAnsi="Arial"/>
      <w:b/>
      <w:smallCaps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58343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3430"/>
    <w:pPr>
      <w:outlineLvl w:val="9"/>
    </w:p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5834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58343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dpis1Char">
    <w:name w:val="Nadpis 1 Char"/>
    <w:aliases w:val="Chapter Char,H1 Char,1 Char,section Char,ASAPHeading 1 Char,Celého textu Char,V_Head1 Char,Záhlaví 1 Char,h1 Char,Nadpis I Char,TRM 12 B Char,TRM 16 B Char,1. Char,Kapitola1 Char,Kapitola2 Char,Kapitola3 Char,Kapitola4 Char,Kapitola5 Char"/>
    <w:basedOn w:val="Standardnpsmoodstavce"/>
    <w:link w:val="Nadpis1"/>
    <w:uiPriority w:val="9"/>
    <w:rsid w:val="0058343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aliases w:val="h2 Char,H2 Char,Attribute Heading 2 Char,2m Char,hlavicka Char,F2 Char,F21 Char,PA Major Section Char,2 Char,sub-sect Char,21 Char,sub-sect1 Char,22 Char,sub-sect2 Char,211 Char,sub-sect11 Char,ASAPHeading 2 Char,Podkapitola1 Char,l2 Char"/>
    <w:basedOn w:val="Standardnpsmoodstavce"/>
    <w:link w:val="Nadpis2"/>
    <w:uiPriority w:val="9"/>
    <w:rsid w:val="0058343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,TRM 12 3 Char,TRM 12 I Char,AR 12 B Char,1.1.1 Char,Podkapitola 2 Char,h3 Char"/>
    <w:basedOn w:val="Standardnpsmoodstavce"/>
    <w:link w:val="Nadpis3"/>
    <w:uiPriority w:val="9"/>
    <w:rsid w:val="0058343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9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rsid w:val="00DF46AE"/>
    <w:pPr>
      <w:jc w:val="center"/>
    </w:pPr>
    <w:rPr>
      <w:b/>
      <w:smallCaps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rsid w:val="00E436B6"/>
    <w:pPr>
      <w:contextualSpacing w:val="0"/>
      <w:jc w:val="center"/>
    </w:pPr>
    <w:rPr>
      <w:rFonts w:ascii="Arial" w:hAnsi="Arial" w:cs="Arial"/>
      <w:b/>
      <w:color w:val="auto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583430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32627"/>
  </w:style>
  <w:style w:type="character" w:styleId="Nzevknihy">
    <w:name w:val="Book Title"/>
    <w:basedOn w:val="Standardnpsmoodstavce"/>
    <w:uiPriority w:val="33"/>
    <w:qFormat/>
    <w:rsid w:val="00583430"/>
    <w:rPr>
      <w:b/>
      <w:bCs/>
      <w:caps w:val="0"/>
      <w:smallCaps/>
      <w:spacing w:val="0"/>
    </w:rPr>
  </w:style>
  <w:style w:type="character" w:styleId="Zdraznn">
    <w:name w:val="Emphasis"/>
    <w:basedOn w:val="Standardnpsmoodstavce"/>
    <w:uiPriority w:val="20"/>
    <w:qFormat/>
    <w:rsid w:val="00583430"/>
    <w:rPr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sid w:val="0058343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343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3430"/>
    <w:rPr>
      <w:rFonts w:asciiTheme="majorHAnsi" w:eastAsiaTheme="majorEastAsia" w:hAnsiTheme="majorHAnsi" w:cstheme="majorBidi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583430"/>
    <w:rPr>
      <w:b/>
      <w:bCs/>
      <w:caps w:val="0"/>
      <w:smallCaps/>
      <w:color w:val="auto"/>
      <w:spacing w:val="0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83430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343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3430"/>
    <w:rPr>
      <w:caps/>
      <w:color w:val="404040" w:themeColor="text1" w:themeTint="BF"/>
      <w:spacing w:val="2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83430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58343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customStyle="1" w:styleId="Nazevprojektu">
    <w:name w:val="Nazev_projektu"/>
    <w:rsid w:val="003918EF"/>
    <w:pPr>
      <w:jc w:val="center"/>
    </w:pPr>
    <w:rPr>
      <w:rFonts w:ascii="Arial" w:hAnsi="Arial"/>
      <w:sz w:val="28"/>
      <w:szCs w:val="28"/>
      <w:lang w:eastAsia="en-US"/>
    </w:rPr>
  </w:style>
  <w:style w:type="paragraph" w:customStyle="1" w:styleId="OdrazkaIctverec">
    <w:name w:val="Odrazka_I_ctverec"/>
    <w:basedOn w:val="Normln"/>
    <w:semiHidden/>
    <w:rsid w:val="001F47FF"/>
    <w:pPr>
      <w:widowControl w:val="0"/>
      <w:numPr>
        <w:numId w:val="18"/>
      </w:numPr>
    </w:pPr>
  </w:style>
  <w:style w:type="paragraph" w:customStyle="1" w:styleId="Odsazen">
    <w:name w:val="Odsazení"/>
    <w:basedOn w:val="Normln"/>
    <w:next w:val="Normln"/>
    <w:rsid w:val="001F47FF"/>
    <w:pPr>
      <w:numPr>
        <w:ilvl w:val="1"/>
        <w:numId w:val="19"/>
      </w:numPr>
      <w:spacing w:after="0"/>
    </w:pPr>
    <w:rPr>
      <w:rFonts w:ascii="Times New Roman" w:hAnsi="Times New Roman"/>
      <w:sz w:val="24"/>
    </w:rPr>
  </w:style>
  <w:style w:type="paragraph" w:customStyle="1" w:styleId="lnek">
    <w:name w:val="Článek"/>
    <w:basedOn w:val="Normln"/>
    <w:rsid w:val="001F47FF"/>
    <w:pPr>
      <w:numPr>
        <w:numId w:val="19"/>
      </w:numPr>
      <w:spacing w:after="0"/>
      <w:jc w:val="center"/>
      <w:outlineLvl w:val="0"/>
    </w:pPr>
    <w:rPr>
      <w:rFonts w:ascii="Times New Roman" w:hAnsi="Times New Roman"/>
      <w:b/>
    </w:rPr>
  </w:style>
  <w:style w:type="paragraph" w:customStyle="1" w:styleId="Textpsmene">
    <w:name w:val="Text písmene"/>
    <w:basedOn w:val="Normln"/>
    <w:rsid w:val="00E456C8"/>
    <w:pPr>
      <w:tabs>
        <w:tab w:val="num" w:pos="360"/>
      </w:tabs>
      <w:spacing w:after="0"/>
      <w:outlineLvl w:val="7"/>
    </w:pPr>
    <w:rPr>
      <w:rFonts w:ascii="Times New Roman" w:hAnsi="Times New Roman"/>
      <w:sz w:val="24"/>
    </w:rPr>
  </w:style>
  <w:style w:type="paragraph" w:customStyle="1" w:styleId="CharChar1CharCharCharCharCharCharCharCharCharCharCharCharCharCharCharCharCharCharCharCharCharCharCharCharCharCharCharChar">
    <w:name w:val="Char Char1 Char Char Char Char Char Char Char Char Char Char Char Char Char Char Char Char Char Char Char Char Char Char Char Char Char Char Char Char"/>
    <w:basedOn w:val="Normln"/>
    <w:rsid w:val="00E456C8"/>
    <w:pPr>
      <w:widowControl w:val="0"/>
      <w:adjustRightInd w:val="0"/>
      <w:spacing w:line="240" w:lineRule="exact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ListParagraphChar">
    <w:name w:val="List Paragraph Char"/>
    <w:basedOn w:val="Normln"/>
    <w:link w:val="ListParagraphCharChar"/>
    <w:rsid w:val="00E456C8"/>
    <w:pPr>
      <w:ind w:left="720"/>
    </w:pPr>
    <w:rPr>
      <w:rFonts w:ascii="Calibri" w:hAnsi="Calibri"/>
      <w:sz w:val="24"/>
      <w:szCs w:val="24"/>
      <w:lang w:val="en-US" w:eastAsia="en-US"/>
    </w:rPr>
  </w:style>
  <w:style w:type="character" w:customStyle="1" w:styleId="ListParagraphCharChar">
    <w:name w:val="List Paragraph Char Char"/>
    <w:basedOn w:val="Standardnpsmoodstavce"/>
    <w:link w:val="ListParagraphChar"/>
    <w:rsid w:val="00E456C8"/>
    <w:rPr>
      <w:rFonts w:ascii="Calibri" w:hAnsi="Calibri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8343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8343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58343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58343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58343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58343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58343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5834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2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58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64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987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76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758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80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1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26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364C-0144-470C-A8D3-859B703E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3258</Words>
  <Characters>19224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2019-04-24T14:54:00Z</dcterms:created>
  <dcterms:modified xsi:type="dcterms:W3CDTF">2023-02-28T12:50:00Z</dcterms:modified>
</cp:coreProperties>
</file>